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附件1  </w:t>
      </w:r>
    </w:p>
    <w:p>
      <w:pPr>
        <w:jc w:val="center"/>
        <w:rPr>
          <w:rFonts w:ascii="微软雅黑" w:hAnsi="微软雅黑" w:eastAsia="微软雅黑" w:cs="微软雅黑"/>
          <w:b/>
          <w:bCs/>
          <w:color w:val="333333"/>
          <w:sz w:val="22"/>
        </w:rPr>
      </w:pPr>
      <w:r>
        <w:rPr>
          <w:rFonts w:hint="eastAsia" w:ascii="微软雅黑" w:hAnsi="微软雅黑" w:eastAsia="微软雅黑" w:cs="微软雅黑"/>
          <w:b/>
          <w:bCs/>
          <w:color w:val="333333"/>
          <w:sz w:val="28"/>
          <w:szCs w:val="28"/>
        </w:rPr>
        <w:t>湖北省医疗机构药品遴选与调出专项基金项目（第一批）申报指南</w:t>
      </w:r>
    </w:p>
    <w:p>
      <w:pPr>
        <w:ind w:firstLine="420" w:firstLineChars="200"/>
        <w:rPr>
          <w:rFonts w:ascii="微软雅黑" w:hAnsi="微软雅黑" w:eastAsia="微软雅黑" w:cs="微软雅黑"/>
          <w:color w:val="333333"/>
          <w:szCs w:val="21"/>
        </w:rPr>
      </w:pPr>
      <w:r>
        <w:rPr>
          <w:rFonts w:ascii="微软雅黑" w:hAnsi="微软雅黑" w:eastAsia="微软雅黑" w:cs="微软雅黑"/>
          <w:color w:val="333333"/>
          <w:szCs w:val="21"/>
        </w:rPr>
        <w:t>为进一步促进药品回归临床价值，2019年国家卫生健康委发布《关于开展药品使用监测和临床综合评价工作的通知》（国卫药政函〔2019〕80号），2021年国家卫生健康委进一步制定了《药品临床综合评价管理指南（2021年版 试行)》</w:t>
      </w:r>
      <w:r>
        <w:rPr>
          <w:rFonts w:hint="eastAsia" w:ascii="微软雅黑" w:hAnsi="微软雅黑" w:eastAsia="微软雅黑" w:cs="微软雅黑"/>
          <w:color w:val="333333"/>
          <w:szCs w:val="21"/>
        </w:rPr>
        <w:t>，2023年湖北省医院协会发布了</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湖北省医疗机构药品遴选与调出机制专家意见</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。为加强医疗机构药品结构优化，切实形成科学合理的药品目录，湖北省医院协会设立2023年湖北省医疗机构药品遴选与调出专项基金项目。</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一、申报条件</w:t>
      </w:r>
    </w:p>
    <w:p>
      <w:pPr>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药品遴选与调出专项研究面向全省范围开放，申请人须通过所在的湖北省内三级医疗机构申报，每家申请单位限报2项，</w:t>
      </w:r>
      <w:r>
        <w:rPr>
          <w:rFonts w:hint="eastAsia" w:ascii="微软雅黑" w:hAnsi="微软雅黑" w:eastAsia="微软雅黑" w:cs="微软雅黑"/>
          <w:color w:val="000000"/>
          <w:kern w:val="0"/>
          <w:szCs w:val="21"/>
          <w:shd w:val="clear" w:color="auto" w:fill="FFFFFF"/>
        </w:rPr>
        <w:t>每个申请人只能申请1项</w:t>
      </w:r>
      <w:r>
        <w:rPr>
          <w:rFonts w:hint="eastAsia" w:ascii="微软雅黑" w:hAnsi="微软雅黑" w:eastAsia="微软雅黑" w:cs="微软雅黑"/>
          <w:color w:val="333333"/>
          <w:szCs w:val="21"/>
        </w:rPr>
        <w:t>。项目负责人应为硕士研究生及以上学历，中级及以上职称，有一定的循证基础，且保障有充足时间完成项目组织实施，有相关课题或项目经验者优先。</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二、资助强度与实施周期</w:t>
      </w:r>
    </w:p>
    <w:p>
      <w:pPr>
        <w:ind w:firstLine="420"/>
        <w:rPr>
          <w:rFonts w:ascii="微软雅黑" w:hAnsi="微软雅黑" w:eastAsia="微软雅黑" w:cs="微软雅黑"/>
          <w:b/>
          <w:bCs/>
          <w:color w:val="333333"/>
          <w:szCs w:val="21"/>
        </w:rPr>
      </w:pPr>
      <w:r>
        <w:rPr>
          <w:rFonts w:hint="eastAsia" w:ascii="微软雅黑" w:hAnsi="微软雅黑" w:eastAsia="微软雅黑" w:cs="微软雅黑"/>
          <w:color w:val="333333"/>
          <w:szCs w:val="21"/>
        </w:rPr>
        <w:t>2023年湖北省医疗机构药品遴选与调出专项基金设立项目</w:t>
      </w: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0项（见下表），湖北省医院协会将通过</w:t>
      </w:r>
      <w:r>
        <w:rPr>
          <w:rFonts w:hint="eastAsia" w:ascii="微软雅黑" w:hAnsi="微软雅黑" w:eastAsia="微软雅黑" w:cs="微软雅黑"/>
          <w:color w:val="auto"/>
          <w:szCs w:val="21"/>
        </w:rPr>
        <w:t>专项基金</w:t>
      </w:r>
      <w:r>
        <w:rPr>
          <w:rFonts w:hint="eastAsia" w:ascii="微软雅黑" w:hAnsi="微软雅黑" w:eastAsia="微软雅黑" w:cs="微软雅黑"/>
          <w:color w:val="333333"/>
          <w:szCs w:val="21"/>
        </w:rPr>
        <w:t>给予</w:t>
      </w:r>
      <w:r>
        <w:rPr>
          <w:rFonts w:hint="eastAsia" w:ascii="微软雅黑" w:hAnsi="微软雅黑" w:eastAsia="微软雅黑" w:cs="微软雅黑"/>
          <w:color w:val="333333"/>
          <w:szCs w:val="21"/>
          <w:lang w:val="en-US" w:eastAsia="zh-CN"/>
        </w:rPr>
        <w:t>每个项目</w:t>
      </w:r>
      <w:r>
        <w:rPr>
          <w:rFonts w:hint="eastAsia" w:ascii="微软雅黑" w:hAnsi="微软雅黑" w:eastAsia="微软雅黑" w:cs="微软雅黑"/>
          <w:color w:val="333333"/>
          <w:szCs w:val="21"/>
        </w:rPr>
        <w:t>5000</w:t>
      </w:r>
      <w:r>
        <w:rPr>
          <w:rFonts w:hint="eastAsia" w:ascii="微软雅黑" w:hAnsi="微软雅黑" w:eastAsia="微软雅黑" w:cs="微软雅黑"/>
          <w:color w:val="333333"/>
          <w:szCs w:val="21"/>
          <w:lang w:val="en-US" w:eastAsia="zh-CN"/>
        </w:rPr>
        <w:t>~10000</w:t>
      </w:r>
      <w:r>
        <w:rPr>
          <w:rFonts w:hint="eastAsia" w:ascii="微软雅黑" w:hAnsi="微软雅黑" w:eastAsia="微软雅黑" w:cs="微软雅黑"/>
          <w:color w:val="333333"/>
          <w:szCs w:val="21"/>
        </w:rPr>
        <w:t>元</w:t>
      </w:r>
      <w:r>
        <w:rPr>
          <w:rFonts w:hint="eastAsia" w:ascii="微软雅黑" w:hAnsi="微软雅黑" w:eastAsia="微软雅黑" w:cs="微软雅黑"/>
          <w:color w:val="333333"/>
          <w:szCs w:val="21"/>
          <w:lang w:val="en-US" w:eastAsia="zh-CN"/>
        </w:rPr>
        <w:t>资</w:t>
      </w:r>
      <w:r>
        <w:rPr>
          <w:rFonts w:hint="eastAsia" w:ascii="微软雅黑" w:hAnsi="微软雅黑" w:eastAsia="微软雅黑" w:cs="微软雅黑"/>
          <w:color w:val="333333"/>
          <w:szCs w:val="21"/>
        </w:rPr>
        <w:t>助，项目经费一次性拨付。</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三、项目研究方向与有关要求</w:t>
      </w:r>
    </w:p>
    <w:p>
      <w:pPr>
        <w:pStyle w:val="7"/>
        <w:widowControl/>
        <w:shd w:val="clear" w:color="auto" w:fill="FFFFFF"/>
        <w:adjustRightInd w:val="0"/>
        <w:snapToGrid w:val="0"/>
        <w:spacing w:beforeAutospacing="0" w:afterAutospacing="0" w:line="360" w:lineRule="auto"/>
        <w:ind w:firstLine="420" w:firstLineChars="200"/>
        <w:jc w:val="both"/>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湖北省医疗卫生机构药品遴选与调出专项基金项目以药品主要适应症为导向进行开展，第一批遴选药物主要围绕常见慢性病用药，主要包括降压药、降脂药、降糖药、平喘药、抗真菌药、抑酸药、抗病毒药等。具体药物类别如下：</w:t>
      </w:r>
    </w:p>
    <w:p>
      <w:pPr>
        <w:pStyle w:val="7"/>
        <w:widowControl/>
        <w:shd w:val="clear" w:color="auto" w:fill="FFFFFF"/>
        <w:adjustRightInd w:val="0"/>
        <w:snapToGrid w:val="0"/>
        <w:spacing w:beforeAutospacing="0" w:afterAutospacing="0" w:line="360" w:lineRule="auto"/>
        <w:ind w:firstLine="420" w:firstLineChars="200"/>
        <w:jc w:val="both"/>
        <w:rPr>
          <w:rFonts w:ascii="微软雅黑" w:hAnsi="微软雅黑" w:eastAsia="微软雅黑" w:cs="微软雅黑"/>
          <w:color w:val="333333"/>
          <w:sz w:val="21"/>
          <w:szCs w:val="21"/>
        </w:rPr>
      </w:pPr>
    </w:p>
    <w:p>
      <w:pPr>
        <w:pStyle w:val="7"/>
        <w:widowControl/>
        <w:shd w:val="clear" w:color="auto" w:fill="FFFFFF"/>
        <w:adjustRightInd w:val="0"/>
        <w:snapToGrid w:val="0"/>
        <w:spacing w:beforeAutospacing="0" w:afterAutospacing="0" w:line="360" w:lineRule="auto"/>
        <w:ind w:firstLine="420" w:firstLineChars="200"/>
        <w:jc w:val="both"/>
        <w:rPr>
          <w:rFonts w:ascii="微软雅黑" w:hAnsi="微软雅黑" w:eastAsia="微软雅黑" w:cs="微软雅黑"/>
          <w:color w:val="333333"/>
          <w:sz w:val="21"/>
          <w:szCs w:val="21"/>
        </w:rPr>
      </w:pPr>
    </w:p>
    <w:p>
      <w:pPr>
        <w:pStyle w:val="7"/>
        <w:widowControl/>
        <w:shd w:val="clear" w:color="auto" w:fill="FFFFFF"/>
        <w:adjustRightInd w:val="0"/>
        <w:snapToGrid w:val="0"/>
        <w:spacing w:beforeAutospacing="0" w:afterAutospacing="0" w:line="360" w:lineRule="auto"/>
        <w:ind w:firstLine="420" w:firstLineChars="200"/>
        <w:jc w:val="both"/>
        <w:rPr>
          <w:rFonts w:ascii="微软雅黑" w:hAnsi="微软雅黑" w:eastAsia="微软雅黑" w:cs="微软雅黑"/>
          <w:color w:val="333333"/>
          <w:sz w:val="21"/>
          <w:szCs w:val="21"/>
        </w:rPr>
      </w:pPr>
    </w:p>
    <w:tbl>
      <w:tblPr>
        <w:tblStyle w:val="9"/>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30"/>
        <w:gridCol w:w="117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项目编号</w:t>
            </w:r>
          </w:p>
        </w:tc>
        <w:tc>
          <w:tcPr>
            <w:tcW w:w="1330" w:type="dxa"/>
            <w:vAlign w:val="center"/>
          </w:tcPr>
          <w:p>
            <w:pPr>
              <w:jc w:val="center"/>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主要适应症</w:t>
            </w:r>
          </w:p>
        </w:tc>
        <w:tc>
          <w:tcPr>
            <w:tcW w:w="1170" w:type="dxa"/>
            <w:vAlign w:val="center"/>
          </w:tcPr>
          <w:p>
            <w:pPr>
              <w:jc w:val="center"/>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药物类别</w:t>
            </w:r>
          </w:p>
        </w:tc>
        <w:tc>
          <w:tcPr>
            <w:tcW w:w="5080" w:type="dxa"/>
            <w:vAlign w:val="center"/>
          </w:tcPr>
          <w:p>
            <w:pPr>
              <w:jc w:val="center"/>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药物通用名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1</w:t>
            </w:r>
          </w:p>
        </w:tc>
        <w:tc>
          <w:tcPr>
            <w:tcW w:w="1330" w:type="dxa"/>
            <w:vMerge w:val="restart"/>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高血压</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CCB</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氨氯地平、硝苯地平、尼群地平、左旋氨氯地平、非洛地平、拉西地平、乐卡地平、贝尼地平等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2</w:t>
            </w:r>
          </w:p>
        </w:tc>
        <w:tc>
          <w:tcPr>
            <w:tcW w:w="1330" w:type="dxa"/>
            <w:vMerge w:val="continue"/>
            <w:vAlign w:val="center"/>
          </w:tcPr>
          <w:p>
            <w:pPr>
              <w:jc w:val="center"/>
              <w:rPr>
                <w:rFonts w:ascii="微软雅黑" w:hAnsi="微软雅黑" w:eastAsia="微软雅黑" w:cs="微软雅黑"/>
                <w:color w:val="333333"/>
                <w:szCs w:val="21"/>
              </w:rPr>
            </w:pPr>
          </w:p>
        </w:tc>
        <w:tc>
          <w:tcPr>
            <w:tcW w:w="1170" w:type="dxa"/>
            <w:vAlign w:val="center"/>
          </w:tcPr>
          <w:p>
            <w:pPr>
              <w:widowControl/>
              <w:jc w:val="center"/>
              <w:textAlignment w:val="center"/>
              <w:rPr>
                <w:rFonts w:ascii="微软雅黑" w:hAnsi="微软雅黑" w:eastAsia="微软雅黑" w:cs="微软雅黑"/>
                <w:color w:val="333333"/>
                <w:szCs w:val="21"/>
              </w:rPr>
            </w:pPr>
            <w:r>
              <w:rPr>
                <w:rFonts w:hint="eastAsia" w:ascii="微软雅黑" w:hAnsi="微软雅黑" w:eastAsia="微软雅黑" w:cs="微软雅黑"/>
                <w:color w:val="333333"/>
                <w:kern w:val="0"/>
                <w:sz w:val="20"/>
                <w:szCs w:val="20"/>
              </w:rPr>
              <w:t>ARB类</w:t>
            </w:r>
          </w:p>
        </w:tc>
        <w:tc>
          <w:tcPr>
            <w:tcW w:w="5080" w:type="dxa"/>
            <w:vAlign w:val="center"/>
          </w:tcPr>
          <w:p>
            <w:pPr>
              <w:widowControl/>
              <w:textAlignment w:val="center"/>
              <w:rPr>
                <w:rFonts w:ascii="微软雅黑" w:hAnsi="微软雅黑" w:eastAsia="微软雅黑" w:cs="微软雅黑"/>
                <w:color w:val="333333"/>
                <w:szCs w:val="21"/>
              </w:rPr>
            </w:pPr>
            <w:r>
              <w:rPr>
                <w:rFonts w:hint="eastAsia" w:ascii="微软雅黑" w:hAnsi="微软雅黑" w:eastAsia="微软雅黑" w:cs="微软雅黑"/>
                <w:color w:val="333333"/>
                <w:kern w:val="0"/>
                <w:sz w:val="20"/>
                <w:szCs w:val="20"/>
              </w:rPr>
              <w:t>厄贝沙坦、氯沙坦、缬沙坦、替米沙坦、坎地沙坦酯、他索沙坦、依普罗沙坦等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3</w:t>
            </w:r>
          </w:p>
        </w:tc>
        <w:tc>
          <w:tcPr>
            <w:tcW w:w="133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高血脂</w:t>
            </w:r>
          </w:p>
        </w:tc>
        <w:tc>
          <w:tcPr>
            <w:tcW w:w="1170" w:type="dxa"/>
            <w:vAlign w:val="center"/>
          </w:tcPr>
          <w:p>
            <w:pPr>
              <w:widowControl/>
              <w:jc w:val="center"/>
              <w:textAlignment w:val="center"/>
              <w:rPr>
                <w:rFonts w:ascii="微软雅黑" w:hAnsi="微软雅黑" w:eastAsia="微软雅黑" w:cs="微软雅黑"/>
                <w:color w:val="333333"/>
                <w:sz w:val="20"/>
                <w:szCs w:val="20"/>
              </w:rPr>
            </w:pPr>
            <w:r>
              <w:rPr>
                <w:rFonts w:hint="eastAsia" w:ascii="微软雅黑" w:hAnsi="微软雅黑" w:eastAsia="微软雅黑" w:cs="微软雅黑"/>
                <w:color w:val="333333"/>
                <w:kern w:val="0"/>
                <w:sz w:val="20"/>
                <w:szCs w:val="20"/>
              </w:rPr>
              <w:t>他汀类</w:t>
            </w:r>
          </w:p>
        </w:tc>
        <w:tc>
          <w:tcPr>
            <w:tcW w:w="5080" w:type="dxa"/>
            <w:vAlign w:val="center"/>
          </w:tcPr>
          <w:p>
            <w:pPr>
              <w:widowControl/>
              <w:textAlignment w:val="center"/>
              <w:rPr>
                <w:rFonts w:ascii="微软雅黑" w:hAnsi="微软雅黑" w:eastAsia="微软雅黑" w:cs="微软雅黑"/>
                <w:color w:val="333333"/>
                <w:sz w:val="20"/>
                <w:szCs w:val="20"/>
              </w:rPr>
            </w:pPr>
            <w:r>
              <w:rPr>
                <w:rFonts w:hint="eastAsia" w:ascii="微软雅黑" w:hAnsi="微软雅黑" w:eastAsia="微软雅黑" w:cs="微软雅黑"/>
                <w:color w:val="333333"/>
                <w:kern w:val="0"/>
                <w:sz w:val="20"/>
                <w:szCs w:val="20"/>
              </w:rPr>
              <w:t>阿托伐他汀、瑞舒伐他汀、辛伐他汀、匹伐他汀、氟伐他汀、洛伐他汀、普伐他汀等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4</w:t>
            </w:r>
          </w:p>
        </w:tc>
        <w:tc>
          <w:tcPr>
            <w:tcW w:w="1330" w:type="dxa"/>
            <w:vMerge w:val="restart"/>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糖尿病</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SGLT-2i</w:t>
            </w:r>
          </w:p>
        </w:tc>
        <w:tc>
          <w:tcPr>
            <w:tcW w:w="5080" w:type="dxa"/>
          </w:tcPr>
          <w:p>
            <w:pPr>
              <w:rPr>
                <w:rFonts w:ascii="微软雅黑" w:hAnsi="微软雅黑" w:eastAsia="微软雅黑" w:cs="微软雅黑"/>
                <w:color w:val="333333"/>
                <w:szCs w:val="21"/>
              </w:rPr>
            </w:pPr>
            <w:r>
              <w:rPr>
                <w:rFonts w:ascii="微软雅黑" w:hAnsi="微软雅黑" w:eastAsia="微软雅黑" w:cs="微软雅黑"/>
                <w:color w:val="333333"/>
                <w:szCs w:val="21"/>
              </w:rPr>
              <w:t>恩格列净、达格列净、卡格列净、坎格列净</w:t>
            </w:r>
            <w:r>
              <w:rPr>
                <w:rFonts w:hint="eastAsia" w:ascii="微软雅黑" w:hAnsi="微软雅黑" w:eastAsia="微软雅黑" w:cs="微软雅黑"/>
                <w:color w:val="333333"/>
                <w:szCs w:val="21"/>
              </w:rPr>
              <w:t>、艾拓格列</w:t>
            </w:r>
            <w:r>
              <w:rPr>
                <w:rFonts w:ascii="微软雅黑" w:hAnsi="微软雅黑" w:eastAsia="微软雅黑" w:cs="微软雅黑"/>
                <w:color w:val="333333"/>
                <w:szCs w:val="21"/>
              </w:rPr>
              <w:t>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5</w:t>
            </w:r>
          </w:p>
        </w:tc>
        <w:tc>
          <w:tcPr>
            <w:tcW w:w="1330" w:type="dxa"/>
            <w:vMerge w:val="continue"/>
            <w:vAlign w:val="center"/>
          </w:tcPr>
          <w:p>
            <w:pPr>
              <w:jc w:val="center"/>
              <w:rPr>
                <w:rFonts w:ascii="微软雅黑" w:hAnsi="微软雅黑" w:eastAsia="微软雅黑" w:cs="微软雅黑"/>
                <w:color w:val="333333"/>
                <w:szCs w:val="21"/>
              </w:rPr>
            </w:pP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GLP-1RA</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司美格鲁肽、度拉糖肽、艾塞那肽、利司那肽、利拉鲁肽、阿必鲁肽等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6</w:t>
            </w:r>
          </w:p>
        </w:tc>
        <w:tc>
          <w:tcPr>
            <w:tcW w:w="133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真菌感染</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三唑类</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氟康唑、伏立康唑、伊曲康唑、泊沙康唑、艾沙康唑等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7</w:t>
            </w:r>
          </w:p>
        </w:tc>
        <w:tc>
          <w:tcPr>
            <w:tcW w:w="133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酸相关疾病</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PPI</w:t>
            </w:r>
          </w:p>
        </w:tc>
        <w:tc>
          <w:tcPr>
            <w:tcW w:w="5080" w:type="dxa"/>
          </w:tcPr>
          <w:p>
            <w:pPr>
              <w:rPr>
                <w:rFonts w:ascii="微软雅黑" w:hAnsi="微软雅黑" w:eastAsia="微软雅黑" w:cs="微软雅黑"/>
                <w:color w:val="333333"/>
                <w:szCs w:val="21"/>
              </w:rPr>
            </w:pPr>
            <w:r>
              <w:rPr>
                <w:rFonts w:ascii="微软雅黑" w:hAnsi="微软雅黑" w:eastAsia="微软雅黑" w:cs="微软雅黑"/>
                <w:color w:val="333333"/>
                <w:szCs w:val="21"/>
              </w:rPr>
              <w:t>奥美拉唑，兰索拉唑，泮托拉唑，雷贝拉唑、艾司奥美拉唑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8</w:t>
            </w:r>
          </w:p>
        </w:tc>
        <w:tc>
          <w:tcPr>
            <w:tcW w:w="133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COPD</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吸入用药</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布地奈德福莫特罗、沙美特罗替卡松、格隆溴铵福莫特罗、乌美溴铵维兰特洛罗、噻托溴铵奥达特罗等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9</w:t>
            </w:r>
          </w:p>
        </w:tc>
        <w:tc>
          <w:tcPr>
            <w:tcW w:w="133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疼痛</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NSAIDs</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塞莱希布、依托考昔、艾瑞昔布、美洛昔康、双氯芬酸钠、布洛芬、洛索洛芬、吲哚美辛等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10</w:t>
            </w:r>
          </w:p>
        </w:tc>
        <w:tc>
          <w:tcPr>
            <w:tcW w:w="1330" w:type="dxa"/>
            <w:vAlign w:val="center"/>
          </w:tcPr>
          <w:p>
            <w:pPr>
              <w:jc w:val="center"/>
              <w:rPr>
                <w:rFonts w:ascii="微软雅黑" w:hAnsi="微软雅黑" w:eastAsia="微软雅黑" w:cs="微软雅黑"/>
                <w:color w:val="333333"/>
                <w:szCs w:val="21"/>
                <w:highlight w:val="yellow"/>
              </w:rPr>
            </w:pPr>
            <w:r>
              <w:rPr>
                <w:rFonts w:hint="eastAsia" w:ascii="微软雅黑" w:hAnsi="微软雅黑" w:eastAsia="微软雅黑" w:cs="微软雅黑"/>
                <w:color w:val="333333"/>
                <w:szCs w:val="21"/>
              </w:rPr>
              <w:t>新型冠状病毒感染</w:t>
            </w:r>
          </w:p>
        </w:tc>
        <w:tc>
          <w:tcPr>
            <w:tcW w:w="1170" w:type="dxa"/>
            <w:vAlign w:val="center"/>
          </w:tcPr>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小分子酶抑制剂</w:t>
            </w:r>
          </w:p>
        </w:tc>
        <w:tc>
          <w:tcPr>
            <w:tcW w:w="5080" w:type="dxa"/>
          </w:tcPr>
          <w:p>
            <w:pPr>
              <w:rPr>
                <w:rFonts w:ascii="微软雅黑" w:hAnsi="微软雅黑" w:eastAsia="微软雅黑" w:cs="微软雅黑"/>
                <w:color w:val="333333"/>
                <w:szCs w:val="21"/>
              </w:rPr>
            </w:pPr>
            <w:r>
              <w:rPr>
                <w:rFonts w:hint="eastAsia" w:ascii="微软雅黑" w:hAnsi="微软雅黑" w:eastAsia="微软雅黑" w:cs="微软雅黑"/>
                <w:color w:val="333333"/>
                <w:szCs w:val="21"/>
              </w:rPr>
              <w:t>莫诺拉韦、瑞米德韦、奈玛特韦/利托那韦组合、先诺特韦/利托那韦组合、阿兹夫定等</w:t>
            </w:r>
          </w:p>
        </w:tc>
      </w:tr>
    </w:tbl>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请各医疗机构结合</w:t>
      </w:r>
      <w:r>
        <w:rPr>
          <w:rFonts w:ascii="微软雅黑" w:hAnsi="微软雅黑" w:eastAsia="微软雅黑" w:cs="微软雅黑"/>
          <w:color w:val="333333"/>
          <w:szCs w:val="21"/>
        </w:rPr>
        <w:t>工作实际，</w:t>
      </w:r>
      <w:r>
        <w:rPr>
          <w:rFonts w:hint="eastAsia" w:ascii="微软雅黑" w:hAnsi="微软雅黑" w:eastAsia="微软雅黑" w:cs="微软雅黑"/>
          <w:color w:val="333333"/>
          <w:szCs w:val="21"/>
        </w:rPr>
        <w:t>以</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湖北省医疗机构药品遴选与调出机制专家意见</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评分细则为依据，进行研究立项。学会将组织专家</w:t>
      </w:r>
      <w:bookmarkStart w:id="0" w:name="_GoBack"/>
      <w:bookmarkEnd w:id="0"/>
      <w:r>
        <w:rPr>
          <w:rFonts w:hint="eastAsia" w:ascii="微软雅黑" w:hAnsi="微软雅黑" w:eastAsia="微软雅黑" w:cs="微软雅黑"/>
          <w:color w:val="333333"/>
          <w:szCs w:val="21"/>
        </w:rPr>
        <w:t>对提交的项目内容进行评</w:t>
      </w:r>
      <w:r>
        <w:rPr>
          <w:rFonts w:hint="eastAsia" w:ascii="微软雅黑" w:hAnsi="微软雅黑" w:eastAsia="微软雅黑" w:cs="微软雅黑"/>
          <w:color w:val="333333"/>
          <w:szCs w:val="21"/>
          <w:highlight w:val="none"/>
        </w:rPr>
        <w:t>审，每个</w:t>
      </w:r>
      <w:r>
        <w:rPr>
          <w:rFonts w:hint="eastAsia" w:ascii="微软雅黑" w:hAnsi="微软雅黑" w:eastAsia="微软雅黑" w:cs="微软雅黑"/>
          <w:color w:val="333333"/>
          <w:szCs w:val="21"/>
          <w:highlight w:val="none"/>
          <w:lang w:val="en-US" w:eastAsia="zh-CN"/>
        </w:rPr>
        <w:t>专项</w:t>
      </w:r>
      <w:r>
        <w:rPr>
          <w:rFonts w:hint="eastAsia" w:ascii="微软雅黑" w:hAnsi="微软雅黑" w:eastAsia="微软雅黑" w:cs="微软雅黑"/>
          <w:color w:val="333333"/>
          <w:szCs w:val="21"/>
          <w:highlight w:val="none"/>
        </w:rPr>
        <w:t>将优选2个</w:t>
      </w:r>
      <w:r>
        <w:rPr>
          <w:rFonts w:hint="eastAsia" w:ascii="微软雅黑" w:hAnsi="微软雅黑" w:eastAsia="微软雅黑" w:cs="微软雅黑"/>
          <w:color w:val="333333"/>
          <w:szCs w:val="21"/>
          <w:highlight w:val="none"/>
          <w:lang w:val="en-US" w:eastAsia="zh-CN"/>
        </w:rPr>
        <w:t>项目</w:t>
      </w:r>
      <w:r>
        <w:rPr>
          <w:rFonts w:hint="eastAsia" w:ascii="微软雅黑" w:hAnsi="微软雅黑" w:eastAsia="微软雅黑" w:cs="微软雅黑"/>
          <w:color w:val="333333"/>
          <w:szCs w:val="21"/>
          <w:highlight w:val="none"/>
        </w:rPr>
        <w:t>进行</w:t>
      </w:r>
      <w:r>
        <w:rPr>
          <w:rFonts w:hint="eastAsia" w:ascii="微软雅黑" w:hAnsi="微软雅黑" w:eastAsia="微软雅黑" w:cs="微软雅黑"/>
          <w:color w:val="333333"/>
          <w:szCs w:val="21"/>
          <w:highlight w:val="none"/>
          <w:lang w:val="en-US" w:eastAsia="zh-CN"/>
        </w:rPr>
        <w:t>资</w:t>
      </w:r>
      <w:r>
        <w:rPr>
          <w:rFonts w:hint="eastAsia" w:ascii="微软雅黑" w:hAnsi="微软雅黑" w:eastAsia="微软雅黑" w:cs="微软雅黑"/>
          <w:color w:val="333333"/>
          <w:szCs w:val="21"/>
          <w:highlight w:val="none"/>
        </w:rPr>
        <w:t>助。负责单位确保提交的项目内容准确无误，格式统一</w:t>
      </w:r>
      <w:r>
        <w:rPr>
          <w:rFonts w:hint="eastAsia" w:ascii="微软雅黑" w:hAnsi="微软雅黑" w:eastAsia="微软雅黑" w:cs="微软雅黑"/>
          <w:color w:val="333333"/>
          <w:szCs w:val="21"/>
        </w:rPr>
        <w:t>并符合期刊发布要求。</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四、工作时间安排</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1、预申报阶段：2023年</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4</w:t>
      </w:r>
      <w:r>
        <w:rPr>
          <w:rFonts w:hint="eastAsia" w:ascii="微软雅黑" w:hAnsi="微软雅黑" w:eastAsia="微软雅黑" w:cs="微软雅黑"/>
          <w:color w:val="333333"/>
          <w:szCs w:val="21"/>
        </w:rPr>
        <w:t>日-2023年</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月15日</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2、申请书填报阶段：2023年</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月15日-2023年1</w:t>
      </w: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月15日</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3、专家评审阶段：2023年</w:t>
      </w:r>
      <w:r>
        <w:rPr>
          <w:rFonts w:hint="eastAsia" w:ascii="微软雅黑" w:hAnsi="微软雅黑" w:eastAsia="微软雅黑" w:cs="微软雅黑"/>
          <w:color w:val="333333"/>
          <w:szCs w:val="21"/>
          <w:lang w:val="en-US" w:eastAsia="zh-CN"/>
        </w:rPr>
        <w:t>11</w:t>
      </w:r>
      <w:r>
        <w:rPr>
          <w:rFonts w:hint="eastAsia" w:ascii="微软雅黑" w:hAnsi="微软雅黑" w:eastAsia="微软雅黑" w:cs="微软雅黑"/>
          <w:color w:val="333333"/>
          <w:szCs w:val="21"/>
        </w:rPr>
        <w:t>月15日-2023年1</w:t>
      </w:r>
      <w:r>
        <w:rPr>
          <w:rFonts w:hint="eastAsia" w:ascii="微软雅黑" w:hAnsi="微软雅黑" w:eastAsia="微软雅黑" w:cs="微软雅黑"/>
          <w:color w:val="333333"/>
          <w:szCs w:val="21"/>
          <w:lang w:val="en-US" w:eastAsia="zh-CN"/>
        </w:rPr>
        <w:t>2</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1</w:t>
      </w:r>
      <w:r>
        <w:rPr>
          <w:rFonts w:hint="eastAsia" w:ascii="微软雅黑" w:hAnsi="微软雅黑" w:eastAsia="微软雅黑" w:cs="微软雅黑"/>
          <w:color w:val="333333"/>
          <w:szCs w:val="21"/>
        </w:rPr>
        <w:t>日</w:t>
      </w:r>
    </w:p>
    <w:p>
      <w:pPr>
        <w:ind w:firstLine="420"/>
        <w:rPr>
          <w:rFonts w:ascii="微软雅黑" w:hAnsi="微软雅黑" w:eastAsia="微软雅黑" w:cs="微软雅黑"/>
          <w:color w:val="333333"/>
          <w:szCs w:val="21"/>
        </w:rPr>
      </w:pPr>
      <w:r>
        <w:rPr>
          <w:rFonts w:hint="eastAsia" w:ascii="微软雅黑" w:hAnsi="微软雅黑" w:eastAsia="微软雅黑" w:cs="微软雅黑"/>
          <w:color w:val="333333"/>
          <w:szCs w:val="21"/>
        </w:rPr>
        <w:t>4、结果公布阶段：2023年1</w:t>
      </w:r>
      <w:r>
        <w:rPr>
          <w:rFonts w:hint="eastAsia" w:ascii="微软雅黑" w:hAnsi="微软雅黑" w:eastAsia="微软雅黑" w:cs="微软雅黑"/>
          <w:color w:val="333333"/>
          <w:szCs w:val="21"/>
          <w:lang w:val="en-US" w:eastAsia="zh-CN"/>
        </w:rPr>
        <w:t>2</w:t>
      </w:r>
      <w:r>
        <w:rPr>
          <w:rFonts w:hint="eastAsia" w:ascii="微软雅黑" w:hAnsi="微软雅黑" w:eastAsia="微软雅黑" w:cs="微软雅黑"/>
          <w:color w:val="333333"/>
          <w:szCs w:val="21"/>
        </w:rPr>
        <w:t>月1日-2023年1</w:t>
      </w:r>
      <w:r>
        <w:rPr>
          <w:rFonts w:hint="eastAsia" w:ascii="微软雅黑" w:hAnsi="微软雅黑" w:eastAsia="微软雅黑" w:cs="微软雅黑"/>
          <w:color w:val="333333"/>
          <w:szCs w:val="21"/>
          <w:lang w:val="en-US" w:eastAsia="zh-CN"/>
        </w:rPr>
        <w:t>2</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8</w:t>
      </w:r>
      <w:r>
        <w:rPr>
          <w:rFonts w:hint="eastAsia" w:ascii="微软雅黑" w:hAnsi="微软雅黑" w:eastAsia="微软雅黑" w:cs="微软雅黑"/>
          <w:color w:val="333333"/>
          <w:szCs w:val="21"/>
        </w:rPr>
        <w:t>日</w:t>
      </w:r>
    </w:p>
    <w:p>
      <w:pPr>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5、成果发布：202</w:t>
      </w:r>
      <w:r>
        <w:rPr>
          <w:rFonts w:hint="eastAsia" w:ascii="微软雅黑" w:hAnsi="微软雅黑" w:eastAsia="微软雅黑" w:cs="微软雅黑"/>
          <w:color w:val="333333"/>
          <w:szCs w:val="21"/>
          <w:lang w:val="en-US" w:eastAsia="zh-CN"/>
        </w:rPr>
        <w:t>3</w:t>
      </w:r>
      <w:r>
        <w:rPr>
          <w:rFonts w:hint="eastAsia" w:ascii="微软雅黑" w:hAnsi="微软雅黑" w:eastAsia="微软雅黑" w:cs="微软雅黑"/>
          <w:color w:val="333333"/>
          <w:szCs w:val="21"/>
        </w:rPr>
        <w:t>年1</w:t>
      </w:r>
      <w:r>
        <w:rPr>
          <w:rFonts w:hint="eastAsia" w:ascii="微软雅黑" w:hAnsi="微软雅黑" w:eastAsia="微软雅黑" w:cs="微软雅黑"/>
          <w:color w:val="333333"/>
          <w:szCs w:val="21"/>
          <w:lang w:val="en-US" w:eastAsia="zh-CN"/>
        </w:rPr>
        <w:t>2</w:t>
      </w:r>
      <w:r>
        <w:rPr>
          <w:rFonts w:hint="eastAsia" w:ascii="微软雅黑" w:hAnsi="微软雅黑" w:eastAsia="微软雅黑" w:cs="微软雅黑"/>
          <w:color w:val="333333"/>
          <w:szCs w:val="21"/>
        </w:rPr>
        <w:t>月</w:t>
      </w:r>
    </w:p>
    <w:p>
      <w:pPr>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五、联系人：郭洁茹（13429818585）</w:t>
      </w:r>
    </w:p>
    <w:p>
      <w:pPr>
        <w:ind w:firstLine="420" w:firstLineChars="200"/>
        <w:rPr>
          <w:rFonts w:ascii="微软雅黑" w:hAnsi="微软雅黑" w:eastAsia="微软雅黑" w:cs="微软雅黑"/>
          <w:color w:val="333333"/>
          <w:szCs w:val="21"/>
        </w:rPr>
        <w:sectPr>
          <w:pgSz w:w="11906" w:h="16838"/>
          <w:pgMar w:top="1440" w:right="1800" w:bottom="1440" w:left="1800" w:header="851" w:footer="992" w:gutter="0"/>
          <w:cols w:space="720" w:num="1"/>
          <w:docGrid w:type="lines" w:linePitch="312" w:charSpace="0"/>
        </w:sectPr>
      </w:pPr>
    </w:p>
    <w:p>
      <w:pPr>
        <w:jc w:val="left"/>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附件2 </w:t>
      </w:r>
    </w:p>
    <w:p>
      <w:pPr>
        <w:rPr>
          <w:sz w:val="24"/>
          <w:szCs w:val="24"/>
        </w:rPr>
      </w:pPr>
      <w:r>
        <w:rPr>
          <w:rFonts w:hint="eastAsia"/>
          <w:sz w:val="24"/>
          <w:szCs w:val="24"/>
        </w:rPr>
        <w:t>项目编号：</w:t>
      </w:r>
    </w:p>
    <w:p>
      <w:pPr>
        <w:rPr>
          <w:sz w:val="24"/>
          <w:szCs w:val="24"/>
        </w:rPr>
      </w:pPr>
    </w:p>
    <w:p>
      <w:pPr>
        <w:rPr>
          <w:sz w:val="24"/>
          <w:szCs w:val="24"/>
        </w:rPr>
      </w:pPr>
    </w:p>
    <w:p>
      <w:pPr>
        <w:jc w:val="center"/>
        <w:rPr>
          <w:rFonts w:ascii="微软雅黑" w:hAnsi="微软雅黑" w:eastAsia="微软雅黑" w:cs="微软雅黑"/>
          <w:b/>
          <w:bCs/>
          <w:color w:val="333333"/>
          <w:sz w:val="36"/>
          <w:szCs w:val="36"/>
        </w:rPr>
      </w:pPr>
      <w:r>
        <w:rPr>
          <w:rFonts w:hint="eastAsia" w:ascii="微软雅黑" w:hAnsi="微软雅黑" w:eastAsia="微软雅黑" w:cs="微软雅黑"/>
          <w:b/>
          <w:bCs/>
          <w:color w:val="333333"/>
          <w:sz w:val="36"/>
          <w:szCs w:val="36"/>
        </w:rPr>
        <w:t>2023年湖北省医疗机构药品遴选与调出</w:t>
      </w:r>
    </w:p>
    <w:p>
      <w:pPr>
        <w:jc w:val="center"/>
        <w:rPr>
          <w:sz w:val="36"/>
          <w:szCs w:val="36"/>
        </w:rPr>
      </w:pPr>
      <w:r>
        <w:rPr>
          <w:rFonts w:hint="eastAsia" w:ascii="微软雅黑" w:hAnsi="微软雅黑" w:eastAsia="微软雅黑" w:cs="微软雅黑"/>
          <w:b/>
          <w:bCs/>
          <w:color w:val="333333"/>
          <w:sz w:val="36"/>
          <w:szCs w:val="36"/>
        </w:rPr>
        <w:t>专项基金项目（第一批）申请书</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bl>
      <w:tblPr>
        <w:tblStyle w:val="8"/>
        <w:tblW w:w="0" w:type="auto"/>
        <w:jc w:val="center"/>
        <w:tblLayout w:type="fixed"/>
        <w:tblCellMar>
          <w:top w:w="0" w:type="dxa"/>
          <w:left w:w="108" w:type="dxa"/>
          <w:bottom w:w="0" w:type="dxa"/>
          <w:right w:w="108" w:type="dxa"/>
        </w:tblCellMar>
      </w:tblPr>
      <w:tblGrid>
        <w:gridCol w:w="1620"/>
        <w:gridCol w:w="5940"/>
      </w:tblGrid>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项目名称：</w:t>
            </w:r>
          </w:p>
        </w:tc>
        <w:tc>
          <w:tcPr>
            <w:tcW w:w="5940" w:type="dxa"/>
            <w:vAlign w:val="center"/>
          </w:tcPr>
          <w:p>
            <w:pPr>
              <w:ind w:left="-28" w:right="-390"/>
              <w:rPr>
                <w:rFonts w:ascii="宋体" w:hAnsi="宋体"/>
                <w:sz w:val="24"/>
                <w:szCs w:val="24"/>
              </w:rPr>
            </w:pPr>
            <w:r>
              <w:rPr>
                <w:rFonts w:hint="eastAsia" w:ascii="宋体" w:hAnsi="宋体"/>
                <w:sz w:val="24"/>
                <w:szCs w:val="24"/>
              </w:rPr>
              <w:t xml:space="preserve">_____________________________________________ </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申 请 者：</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承担单位：</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通讯地址：</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 xml:space="preserve">邮政编码： </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办公电话：</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手    机：</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传    真：</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电子信箱：</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新宋体" w:hAnsi="新宋体" w:eastAsia="新宋体"/>
                <w:sz w:val="24"/>
                <w:szCs w:val="24"/>
              </w:rPr>
            </w:pPr>
            <w:r>
              <w:rPr>
                <w:rFonts w:hint="eastAsia" w:ascii="新宋体" w:hAnsi="新宋体" w:eastAsia="新宋体"/>
                <w:sz w:val="24"/>
                <w:szCs w:val="24"/>
              </w:rPr>
              <w:t>开 户 行：</w:t>
            </w:r>
          </w:p>
        </w:tc>
        <w:tc>
          <w:tcPr>
            <w:tcW w:w="5940" w:type="dxa"/>
            <w:vAlign w:val="center"/>
          </w:tcPr>
          <w:p>
            <w:pPr>
              <w:rPr>
                <w:rFonts w:ascii="新宋体" w:hAnsi="新宋体" w:eastAsia="新宋体"/>
                <w:sz w:val="24"/>
                <w:szCs w:val="24"/>
              </w:rPr>
            </w:pPr>
            <w:r>
              <w:rPr>
                <w:rFonts w:ascii="新宋体" w:hAnsi="新宋体" w:eastAsia="新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新宋体" w:hAnsi="新宋体" w:eastAsia="新宋体"/>
                <w:sz w:val="24"/>
                <w:szCs w:val="24"/>
              </w:rPr>
            </w:pPr>
            <w:r>
              <w:rPr>
                <w:rFonts w:hint="eastAsia" w:ascii="新宋体" w:hAnsi="新宋体" w:eastAsia="新宋体"/>
                <w:sz w:val="24"/>
                <w:szCs w:val="24"/>
              </w:rPr>
              <w:t>帐    号：</w:t>
            </w:r>
          </w:p>
        </w:tc>
        <w:tc>
          <w:tcPr>
            <w:tcW w:w="5940" w:type="dxa"/>
            <w:vAlign w:val="center"/>
          </w:tcPr>
          <w:p>
            <w:pPr>
              <w:rPr>
                <w:rFonts w:ascii="新宋体" w:hAnsi="新宋体" w:eastAsia="新宋体"/>
                <w:sz w:val="24"/>
                <w:szCs w:val="24"/>
              </w:rPr>
            </w:pPr>
            <w:r>
              <w:rPr>
                <w:rFonts w:ascii="新宋体" w:hAnsi="新宋体" w:eastAsia="新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联系电话：</w:t>
            </w:r>
          </w:p>
        </w:tc>
        <w:tc>
          <w:tcPr>
            <w:tcW w:w="5940" w:type="dxa"/>
            <w:vAlign w:val="center"/>
          </w:tcPr>
          <w:p>
            <w:pPr>
              <w:rPr>
                <w:rFonts w:ascii="宋体" w:hAnsi="宋体"/>
                <w:sz w:val="24"/>
                <w:szCs w:val="24"/>
              </w:rPr>
            </w:pPr>
            <w:r>
              <w:rPr>
                <w:rFonts w:hint="eastAsia" w:ascii="宋体" w:hAnsi="宋体"/>
                <w:sz w:val="24"/>
                <w:szCs w:val="24"/>
              </w:rPr>
              <w:t>_____________________________________________</w:t>
            </w:r>
          </w:p>
        </w:tc>
      </w:tr>
      <w:tr>
        <w:tblPrEx>
          <w:tblCellMar>
            <w:top w:w="0" w:type="dxa"/>
            <w:left w:w="108" w:type="dxa"/>
            <w:bottom w:w="0" w:type="dxa"/>
            <w:right w:w="108" w:type="dxa"/>
          </w:tblCellMar>
        </w:tblPrEx>
        <w:trPr>
          <w:trHeight w:val="567" w:hRule="atLeast"/>
          <w:jc w:val="center"/>
        </w:trPr>
        <w:tc>
          <w:tcPr>
            <w:tcW w:w="1620" w:type="dxa"/>
            <w:vAlign w:val="center"/>
          </w:tcPr>
          <w:p>
            <w:pPr>
              <w:rPr>
                <w:rFonts w:ascii="宋体" w:hAnsi="宋体"/>
                <w:sz w:val="24"/>
                <w:szCs w:val="24"/>
              </w:rPr>
            </w:pPr>
            <w:r>
              <w:rPr>
                <w:rFonts w:hint="eastAsia" w:ascii="宋体" w:hAnsi="宋体"/>
                <w:sz w:val="24"/>
                <w:szCs w:val="24"/>
              </w:rPr>
              <w:t>申请日期：</w:t>
            </w:r>
          </w:p>
        </w:tc>
        <w:tc>
          <w:tcPr>
            <w:tcW w:w="5940" w:type="dxa"/>
            <w:vAlign w:val="center"/>
          </w:tcPr>
          <w:p>
            <w:pPr>
              <w:rPr>
                <w:rFonts w:ascii="宋体" w:hAnsi="宋体"/>
                <w:sz w:val="24"/>
                <w:szCs w:val="24"/>
              </w:rPr>
            </w:pPr>
            <w:r>
              <w:rPr>
                <w:rFonts w:ascii="宋体" w:hAnsi="宋体"/>
                <w:sz w:val="24"/>
                <w:szCs w:val="24"/>
              </w:rPr>
              <w:t>_____________________________________________</w:t>
            </w:r>
          </w:p>
        </w:tc>
      </w:tr>
    </w:tbl>
    <w:p>
      <w:pPr>
        <w:rPr>
          <w:sz w:val="24"/>
          <w:szCs w:val="24"/>
        </w:rPr>
      </w:pPr>
    </w:p>
    <w:p>
      <w:pPr>
        <w:rPr>
          <w:sz w:val="24"/>
          <w:szCs w:val="24"/>
        </w:rPr>
      </w:pPr>
    </w:p>
    <w:p>
      <w:pPr>
        <w:rPr>
          <w:sz w:val="24"/>
          <w:szCs w:val="24"/>
        </w:rPr>
      </w:pPr>
    </w:p>
    <w:p>
      <w:pPr>
        <w:rPr>
          <w:sz w:val="24"/>
          <w:szCs w:val="24"/>
        </w:rPr>
      </w:pPr>
    </w:p>
    <w:p>
      <w:pPr>
        <w:jc w:val="center"/>
        <w:rPr>
          <w:rFonts w:ascii="微软雅黑" w:hAnsi="微软雅黑" w:eastAsia="微软雅黑" w:cs="微软雅黑"/>
          <w:color w:val="333333"/>
          <w:szCs w:val="21"/>
        </w:rPr>
      </w:pPr>
      <w:r>
        <w:rPr>
          <w:rFonts w:hint="eastAsia" w:ascii="微软雅黑" w:hAnsi="微软雅黑" w:eastAsia="微软雅黑" w:cs="微软雅黑"/>
          <w:color w:val="333333"/>
          <w:szCs w:val="21"/>
        </w:rPr>
        <w:t>湖北省医院协会制</w:t>
      </w:r>
    </w:p>
    <w:p>
      <w:pPr>
        <w:pStyle w:val="2"/>
        <w:jc w:val="center"/>
        <w:rPr>
          <w:rFonts w:ascii="宋体" w:hAnsi="宋体"/>
        </w:rPr>
      </w:pPr>
      <w:r>
        <w:rPr>
          <w:rFonts w:hint="eastAsia" w:ascii="宋体" w:hAnsi="宋体"/>
        </w:rPr>
        <w:t>填 表 说 明</w:t>
      </w:r>
    </w:p>
    <w:p>
      <w:pPr>
        <w:spacing w:line="480" w:lineRule="auto"/>
        <w:ind w:firstLine="562" w:firstLineChars="200"/>
        <w:rPr>
          <w:rFonts w:ascii="宋体" w:hAnsi="宋体"/>
          <w:b/>
          <w:sz w:val="28"/>
          <w:szCs w:val="28"/>
        </w:rPr>
      </w:pPr>
      <w:r>
        <w:rPr>
          <w:rFonts w:hint="eastAsia" w:ascii="宋体" w:hAnsi="宋体"/>
          <w:b/>
          <w:sz w:val="28"/>
          <w:szCs w:val="28"/>
        </w:rPr>
        <w:t>一、本基金用于资助湖北省行政区内各系统所属三级医院药学研究。</w:t>
      </w:r>
    </w:p>
    <w:p>
      <w:pPr>
        <w:spacing w:line="480" w:lineRule="auto"/>
        <w:rPr>
          <w:rFonts w:ascii="宋体" w:hAnsi="宋体"/>
          <w:b/>
          <w:sz w:val="28"/>
          <w:szCs w:val="28"/>
        </w:rPr>
      </w:pPr>
      <w:r>
        <w:rPr>
          <w:rFonts w:hint="eastAsia" w:ascii="宋体" w:hAnsi="宋体"/>
          <w:b/>
          <w:sz w:val="28"/>
          <w:szCs w:val="28"/>
        </w:rPr>
        <w:t xml:space="preserve">    二、申请者必须逐项认真填写申请书，表达要明确、字迹要清晰，内容真实、准确。申请书为A4开本，复印时请用A4复印纸。</w:t>
      </w:r>
    </w:p>
    <w:p>
      <w:pPr>
        <w:spacing w:line="480" w:lineRule="auto"/>
        <w:ind w:firstLine="562" w:firstLineChars="200"/>
        <w:rPr>
          <w:rFonts w:ascii="宋体" w:hAnsi="宋体"/>
          <w:b/>
          <w:sz w:val="28"/>
          <w:szCs w:val="28"/>
        </w:rPr>
      </w:pPr>
      <w:r>
        <w:rPr>
          <w:rFonts w:hint="eastAsia" w:ascii="宋体" w:hAnsi="宋体"/>
          <w:b/>
          <w:sz w:val="28"/>
          <w:szCs w:val="28"/>
        </w:rPr>
        <w:t>三、申请书须经申请单位签署意见并加盖公章。</w:t>
      </w: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spacing w:line="480" w:lineRule="auto"/>
        <w:ind w:firstLine="562" w:firstLineChars="200"/>
        <w:rPr>
          <w:rFonts w:ascii="宋体" w:hAnsi="宋体"/>
          <w:b/>
          <w:sz w:val="28"/>
          <w:szCs w:val="28"/>
        </w:rPr>
      </w:pPr>
    </w:p>
    <w:p>
      <w:pPr>
        <w:pStyle w:val="2"/>
        <w:spacing w:line="240" w:lineRule="atLeast"/>
        <w:rPr>
          <w:rFonts w:ascii="宋体" w:hAnsi="宋体"/>
          <w:sz w:val="28"/>
          <w:szCs w:val="28"/>
        </w:rPr>
      </w:pPr>
      <w:r>
        <w:rPr>
          <w:rFonts w:hint="eastAsia" w:ascii="宋体" w:hAnsi="宋体"/>
          <w:sz w:val="28"/>
          <w:szCs w:val="28"/>
        </w:rPr>
        <w:t>一、基本情况</w:t>
      </w:r>
    </w:p>
    <w:tbl>
      <w:tblPr>
        <w:tblStyle w:val="8"/>
        <w:tblW w:w="5052" w:type="pct"/>
        <w:tblInd w:w="0" w:type="dxa"/>
        <w:tblLayout w:type="fixed"/>
        <w:tblCellMar>
          <w:top w:w="0" w:type="dxa"/>
          <w:left w:w="28" w:type="dxa"/>
          <w:bottom w:w="0" w:type="dxa"/>
          <w:right w:w="28" w:type="dxa"/>
        </w:tblCellMar>
      </w:tblPr>
      <w:tblGrid>
        <w:gridCol w:w="753"/>
        <w:gridCol w:w="788"/>
        <w:gridCol w:w="1148"/>
        <w:gridCol w:w="659"/>
        <w:gridCol w:w="646"/>
        <w:gridCol w:w="1004"/>
        <w:gridCol w:w="1090"/>
        <w:gridCol w:w="1080"/>
        <w:gridCol w:w="1281"/>
      </w:tblGrid>
      <w:tr>
        <w:tblPrEx>
          <w:tblCellMar>
            <w:top w:w="0" w:type="dxa"/>
            <w:left w:w="28" w:type="dxa"/>
            <w:bottom w:w="0" w:type="dxa"/>
            <w:right w:w="28" w:type="dxa"/>
          </w:tblCellMar>
        </w:tblPrEx>
        <w:trPr>
          <w:trHeight w:val="488" w:hRule="atLeast"/>
        </w:trPr>
        <w:tc>
          <w:tcPr>
            <w:tcW w:w="911" w:type="pct"/>
            <w:gridSpan w:val="2"/>
            <w:tcBorders>
              <w:top w:val="single" w:color="auto" w:sz="4" w:space="0"/>
              <w:left w:val="single" w:color="auto" w:sz="4" w:space="0"/>
              <w:bottom w:val="single" w:color="auto" w:sz="4" w:space="0"/>
            </w:tcBorders>
            <w:noWrap/>
            <w:vAlign w:val="center"/>
          </w:tcPr>
          <w:p>
            <w:pPr>
              <w:spacing w:line="240" w:lineRule="atLeast"/>
              <w:jc w:val="center"/>
              <w:rPr>
                <w:rFonts w:ascii="宋体" w:hAnsi="宋体"/>
                <w:szCs w:val="21"/>
              </w:rPr>
            </w:pPr>
            <w:r>
              <w:rPr>
                <w:rFonts w:hint="eastAsia" w:ascii="宋体" w:hAnsi="宋体"/>
                <w:szCs w:val="21"/>
                <w:lang w:val="en-US" w:eastAsia="zh-CN"/>
              </w:rPr>
              <w:t>项目名称</w:t>
            </w:r>
          </w:p>
        </w:tc>
        <w:tc>
          <w:tcPr>
            <w:tcW w:w="4088" w:type="pct"/>
            <w:gridSpan w:val="7"/>
            <w:tcBorders>
              <w:top w:val="single" w:color="auto" w:sz="6" w:space="0"/>
              <w:left w:val="single" w:color="auto" w:sz="6" w:space="0"/>
              <w:bottom w:val="single" w:color="auto" w:sz="6" w:space="0"/>
              <w:right w:val="single" w:color="auto" w:sz="6" w:space="0"/>
            </w:tcBorders>
            <w:noWrap/>
            <w:vAlign w:val="center"/>
          </w:tcPr>
          <w:p>
            <w:pPr>
              <w:spacing w:line="240" w:lineRule="atLeast"/>
              <w:rPr>
                <w:rFonts w:ascii="宋体" w:hAnsi="宋体"/>
                <w:szCs w:val="21"/>
              </w:rPr>
            </w:pPr>
          </w:p>
        </w:tc>
      </w:tr>
      <w:tr>
        <w:tblPrEx>
          <w:tblCellMar>
            <w:top w:w="0" w:type="dxa"/>
            <w:left w:w="28" w:type="dxa"/>
            <w:bottom w:w="0" w:type="dxa"/>
            <w:right w:w="28" w:type="dxa"/>
          </w:tblCellMar>
        </w:tblPrEx>
        <w:trPr>
          <w:trHeight w:val="90" w:hRule="atLeast"/>
        </w:trPr>
        <w:tc>
          <w:tcPr>
            <w:tcW w:w="445" w:type="pct"/>
            <w:vMerge w:val="restart"/>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申</w:t>
            </w:r>
          </w:p>
          <w:p>
            <w:pPr>
              <w:spacing w:line="240" w:lineRule="atLeast"/>
              <w:jc w:val="center"/>
              <w:rPr>
                <w:rFonts w:ascii="宋体" w:hAnsi="宋体"/>
                <w:szCs w:val="21"/>
              </w:rPr>
            </w:pPr>
            <w:r>
              <w:rPr>
                <w:rFonts w:hint="eastAsia" w:ascii="宋体" w:hAnsi="宋体"/>
                <w:szCs w:val="21"/>
              </w:rPr>
              <w:t>请</w:t>
            </w:r>
          </w:p>
          <w:p>
            <w:pPr>
              <w:spacing w:line="240" w:lineRule="atLeast"/>
              <w:jc w:val="center"/>
              <w:rPr>
                <w:rFonts w:ascii="宋体" w:hAnsi="宋体"/>
                <w:szCs w:val="21"/>
              </w:rPr>
            </w:pPr>
            <w:r>
              <w:rPr>
                <w:rFonts w:hint="eastAsia" w:ascii="宋体" w:hAnsi="宋体"/>
                <w:szCs w:val="21"/>
              </w:rPr>
              <w:t>者</w:t>
            </w:r>
          </w:p>
        </w:tc>
        <w:tc>
          <w:tcPr>
            <w:tcW w:w="466" w:type="pct"/>
            <w:vMerge w:val="restart"/>
            <w:tcBorders>
              <w:top w:val="single" w:color="auto" w:sz="6" w:space="0"/>
              <w:left w:val="nil"/>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姓名</w:t>
            </w:r>
          </w:p>
        </w:tc>
        <w:tc>
          <w:tcPr>
            <w:tcW w:w="1069" w:type="pct"/>
            <w:gridSpan w:val="2"/>
            <w:vMerge w:val="restart"/>
            <w:tcBorders>
              <w:top w:val="single" w:color="auto" w:sz="6" w:space="0"/>
              <w:left w:val="single" w:color="auto" w:sz="4" w:space="0"/>
              <w:right w:val="single" w:color="auto" w:sz="4" w:space="0"/>
            </w:tcBorders>
            <w:noWrap/>
            <w:vAlign w:val="center"/>
          </w:tcPr>
          <w:p>
            <w:pPr>
              <w:spacing w:line="240" w:lineRule="atLeast"/>
              <w:rPr>
                <w:rFonts w:ascii="宋体" w:hAnsi="宋体"/>
                <w:szCs w:val="21"/>
              </w:rPr>
            </w:pPr>
          </w:p>
        </w:tc>
        <w:tc>
          <w:tcPr>
            <w:tcW w:w="382" w:type="pct"/>
            <w:tcBorders>
              <w:top w:val="single" w:color="auto" w:sz="6"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性别</w:t>
            </w:r>
          </w:p>
        </w:tc>
        <w:tc>
          <w:tcPr>
            <w:tcW w:w="594" w:type="pct"/>
            <w:tcBorders>
              <w:top w:val="single" w:color="auto" w:sz="6"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645" w:type="pct"/>
            <w:tcBorders>
              <w:top w:val="single" w:color="auto" w:sz="6"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出生年月</w:t>
            </w:r>
          </w:p>
        </w:tc>
        <w:tc>
          <w:tcPr>
            <w:tcW w:w="1397" w:type="pct"/>
            <w:gridSpan w:val="2"/>
            <w:tcBorders>
              <w:top w:val="single" w:color="auto" w:sz="6" w:space="0"/>
              <w:left w:val="single" w:color="auto" w:sz="4" w:space="0"/>
              <w:bottom w:val="single" w:color="auto" w:sz="4" w:space="0"/>
              <w:right w:val="single" w:color="auto" w:sz="4" w:space="0"/>
            </w:tcBorders>
            <w:noWrap/>
            <w:vAlign w:val="center"/>
          </w:tcPr>
          <w:p>
            <w:pPr>
              <w:rPr>
                <w:rFonts w:ascii="宋体" w:hAnsi="宋体"/>
                <w:szCs w:val="21"/>
              </w:rPr>
            </w:pPr>
          </w:p>
        </w:tc>
      </w:tr>
      <w:tr>
        <w:tblPrEx>
          <w:tblCellMar>
            <w:top w:w="0" w:type="dxa"/>
            <w:left w:w="28" w:type="dxa"/>
            <w:bottom w:w="0" w:type="dxa"/>
            <w:right w:w="28" w:type="dxa"/>
          </w:tblCellMar>
        </w:tblPrEx>
        <w:tc>
          <w:tcPr>
            <w:tcW w:w="445" w:type="pct"/>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szCs w:val="21"/>
              </w:rPr>
            </w:pPr>
          </w:p>
        </w:tc>
        <w:tc>
          <w:tcPr>
            <w:tcW w:w="466" w:type="pct"/>
            <w:vMerge w:val="continue"/>
            <w:tcBorders>
              <w:left w:val="nil"/>
              <w:bottom w:val="nil"/>
              <w:right w:val="single" w:color="auto" w:sz="4" w:space="0"/>
            </w:tcBorders>
            <w:noWrap/>
            <w:vAlign w:val="center"/>
          </w:tcPr>
          <w:p>
            <w:pPr>
              <w:spacing w:line="240" w:lineRule="atLeast"/>
              <w:jc w:val="center"/>
              <w:rPr>
                <w:rFonts w:ascii="宋体" w:hAnsi="宋体"/>
                <w:szCs w:val="21"/>
              </w:rPr>
            </w:pPr>
          </w:p>
        </w:tc>
        <w:tc>
          <w:tcPr>
            <w:tcW w:w="1069" w:type="pct"/>
            <w:gridSpan w:val="2"/>
            <w:vMerge w:val="continue"/>
            <w:tcBorders>
              <w:left w:val="single" w:color="auto" w:sz="4" w:space="0"/>
              <w:bottom w:val="nil"/>
              <w:right w:val="single" w:color="auto" w:sz="4" w:space="0"/>
            </w:tcBorders>
            <w:noWrap/>
            <w:vAlign w:val="center"/>
          </w:tcPr>
          <w:p>
            <w:pPr>
              <w:spacing w:line="240" w:lineRule="atLeast"/>
              <w:rPr>
                <w:rFonts w:ascii="宋体" w:hAnsi="宋体"/>
                <w:szCs w:val="21"/>
              </w:rPr>
            </w:pPr>
          </w:p>
        </w:tc>
        <w:tc>
          <w:tcPr>
            <w:tcW w:w="382" w:type="pct"/>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r>
              <w:rPr>
                <w:rFonts w:hint="eastAsia" w:ascii="宋体" w:hAnsi="宋体"/>
                <w:szCs w:val="21"/>
              </w:rPr>
              <w:t>民族</w:t>
            </w:r>
          </w:p>
        </w:tc>
        <w:tc>
          <w:tcPr>
            <w:tcW w:w="594" w:type="pct"/>
            <w:tcBorders>
              <w:top w:val="single" w:color="auto" w:sz="4" w:space="0"/>
              <w:left w:val="single" w:color="auto" w:sz="4" w:space="0"/>
              <w:bottom w:val="nil"/>
              <w:right w:val="single" w:color="auto" w:sz="4" w:space="0"/>
            </w:tcBorders>
            <w:noWrap/>
            <w:vAlign w:val="center"/>
          </w:tcPr>
          <w:p>
            <w:pPr>
              <w:jc w:val="center"/>
              <w:rPr>
                <w:rFonts w:ascii="宋体" w:hAnsi="宋体"/>
                <w:szCs w:val="21"/>
              </w:rPr>
            </w:pPr>
          </w:p>
        </w:tc>
        <w:tc>
          <w:tcPr>
            <w:tcW w:w="645"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身份证号</w:t>
            </w:r>
          </w:p>
        </w:tc>
        <w:tc>
          <w:tcPr>
            <w:tcW w:w="139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CellMar>
            <w:top w:w="0" w:type="dxa"/>
            <w:left w:w="28" w:type="dxa"/>
            <w:bottom w:w="0" w:type="dxa"/>
            <w:right w:w="28" w:type="dxa"/>
          </w:tblCellMar>
        </w:tblPrEx>
        <w:tc>
          <w:tcPr>
            <w:tcW w:w="445" w:type="pct"/>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szCs w:val="21"/>
              </w:rPr>
            </w:pPr>
          </w:p>
        </w:tc>
        <w:tc>
          <w:tcPr>
            <w:tcW w:w="466" w:type="pct"/>
            <w:tcBorders>
              <w:top w:val="single" w:color="auto" w:sz="6" w:space="0"/>
              <w:left w:val="single" w:color="auto" w:sz="6"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专业技</w:t>
            </w:r>
          </w:p>
          <w:p>
            <w:pPr>
              <w:spacing w:line="240" w:lineRule="atLeast"/>
              <w:jc w:val="center"/>
              <w:rPr>
                <w:rFonts w:ascii="宋体" w:hAnsi="宋体"/>
                <w:szCs w:val="21"/>
              </w:rPr>
            </w:pPr>
            <w:r>
              <w:rPr>
                <w:rFonts w:hint="eastAsia" w:ascii="宋体" w:hAnsi="宋体"/>
                <w:szCs w:val="21"/>
              </w:rPr>
              <w:t>术职务</w:t>
            </w:r>
          </w:p>
        </w:tc>
        <w:tc>
          <w:tcPr>
            <w:tcW w:w="1069" w:type="pct"/>
            <w:gridSpan w:val="2"/>
            <w:tcBorders>
              <w:top w:val="single" w:color="auto" w:sz="6" w:space="0"/>
              <w:left w:val="single" w:color="auto" w:sz="4" w:space="0"/>
              <w:right w:val="single" w:color="auto" w:sz="6" w:space="0"/>
            </w:tcBorders>
            <w:noWrap/>
            <w:vAlign w:val="center"/>
          </w:tcPr>
          <w:p>
            <w:pPr>
              <w:spacing w:line="240" w:lineRule="atLeast"/>
              <w:rPr>
                <w:rFonts w:ascii="宋体" w:hAnsi="宋体"/>
                <w:szCs w:val="21"/>
              </w:rPr>
            </w:pPr>
          </w:p>
        </w:tc>
        <w:tc>
          <w:tcPr>
            <w:tcW w:w="382" w:type="pct"/>
            <w:tcBorders>
              <w:top w:val="single" w:color="auto" w:sz="6" w:space="0"/>
              <w:left w:val="single" w:color="auto" w:sz="6"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学位</w:t>
            </w:r>
          </w:p>
        </w:tc>
        <w:tc>
          <w:tcPr>
            <w:tcW w:w="1239" w:type="pct"/>
            <w:gridSpan w:val="2"/>
            <w:tcBorders>
              <w:top w:val="single" w:color="auto" w:sz="6" w:space="0"/>
              <w:left w:val="single" w:color="auto" w:sz="4" w:space="0"/>
              <w:right w:val="single" w:color="auto" w:sz="4" w:space="0"/>
            </w:tcBorders>
            <w:noWrap/>
            <w:vAlign w:val="center"/>
          </w:tcPr>
          <w:p>
            <w:pPr>
              <w:spacing w:line="240" w:lineRule="atLeast"/>
              <w:ind w:left="182"/>
              <w:jc w:val="center"/>
              <w:rPr>
                <w:rFonts w:ascii="宋体" w:hAnsi="宋体"/>
                <w:szCs w:val="21"/>
              </w:rPr>
            </w:pPr>
          </w:p>
        </w:tc>
        <w:tc>
          <w:tcPr>
            <w:tcW w:w="639" w:type="pct"/>
            <w:tcBorders>
              <w:top w:val="single" w:color="auto" w:sz="6" w:space="0"/>
              <w:left w:val="single" w:color="auto" w:sz="4"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授予国别</w:t>
            </w:r>
          </w:p>
        </w:tc>
        <w:tc>
          <w:tcPr>
            <w:tcW w:w="758" w:type="pct"/>
            <w:tcBorders>
              <w:top w:val="single" w:color="auto" w:sz="6" w:space="0"/>
              <w:left w:val="single" w:color="auto" w:sz="4" w:space="0"/>
              <w:right w:val="single" w:color="auto" w:sz="4" w:space="0"/>
            </w:tcBorders>
            <w:noWrap/>
            <w:vAlign w:val="center"/>
          </w:tcPr>
          <w:p>
            <w:pPr>
              <w:spacing w:line="240" w:lineRule="atLeast"/>
              <w:rPr>
                <w:rFonts w:ascii="宋体" w:hAnsi="宋体"/>
                <w:szCs w:val="21"/>
              </w:rPr>
            </w:pPr>
          </w:p>
        </w:tc>
      </w:tr>
      <w:tr>
        <w:tblPrEx>
          <w:tblCellMar>
            <w:top w:w="0" w:type="dxa"/>
            <w:left w:w="28" w:type="dxa"/>
            <w:bottom w:w="0" w:type="dxa"/>
            <w:right w:w="28" w:type="dxa"/>
          </w:tblCellMar>
        </w:tblPrEx>
        <w:tc>
          <w:tcPr>
            <w:tcW w:w="445" w:type="pct"/>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szCs w:val="21"/>
              </w:rPr>
            </w:pPr>
          </w:p>
        </w:tc>
        <w:tc>
          <w:tcPr>
            <w:tcW w:w="466" w:type="pct"/>
            <w:tcBorders>
              <w:top w:val="single" w:color="auto" w:sz="6" w:space="0"/>
              <w:left w:val="single" w:color="auto" w:sz="4" w:space="0"/>
              <w:bottom w:val="single" w:color="auto" w:sz="6" w:space="0"/>
              <w:right w:val="single" w:color="auto" w:sz="6" w:space="0"/>
            </w:tcBorders>
            <w:noWrap/>
            <w:vAlign w:val="center"/>
          </w:tcPr>
          <w:p>
            <w:pPr>
              <w:spacing w:line="240" w:lineRule="atLeast"/>
              <w:jc w:val="center"/>
              <w:rPr>
                <w:rFonts w:ascii="宋体" w:hAnsi="宋体"/>
                <w:szCs w:val="21"/>
              </w:rPr>
            </w:pPr>
            <w:r>
              <w:rPr>
                <w:rFonts w:hint="eastAsia" w:ascii="宋体" w:hAnsi="宋体"/>
                <w:szCs w:val="21"/>
              </w:rPr>
              <w:t>其它</w:t>
            </w:r>
          </w:p>
        </w:tc>
        <w:tc>
          <w:tcPr>
            <w:tcW w:w="4088" w:type="pct"/>
            <w:gridSpan w:val="7"/>
            <w:tcBorders>
              <w:top w:val="single" w:color="auto" w:sz="6" w:space="0"/>
              <w:bottom w:val="single" w:color="auto" w:sz="6" w:space="0"/>
              <w:right w:val="single" w:color="auto" w:sz="4" w:space="0"/>
            </w:tcBorders>
            <w:noWrap/>
            <w:vAlign w:val="center"/>
          </w:tcPr>
          <w:p>
            <w:pPr>
              <w:spacing w:line="240" w:lineRule="atLeast"/>
              <w:ind w:firstLine="1470" w:firstLineChars="700"/>
              <w:rPr>
                <w:rFonts w:ascii="宋体" w:hAnsi="宋体"/>
                <w:szCs w:val="21"/>
              </w:rPr>
            </w:pPr>
            <w:r>
              <w:rPr>
                <w:rFonts w:hint="eastAsia" w:ascii="宋体" w:hAnsi="宋体"/>
                <w:szCs w:val="21"/>
              </w:rPr>
              <w:sym w:font="Wingdings" w:char="00A8"/>
            </w:r>
            <w:r>
              <w:rPr>
                <w:rFonts w:hint="eastAsia" w:ascii="宋体" w:hAnsi="宋体"/>
                <w:szCs w:val="21"/>
              </w:rPr>
              <w:t xml:space="preserve">博士生导师    </w:t>
            </w:r>
            <w:r>
              <w:rPr>
                <w:rFonts w:hint="eastAsia" w:ascii="宋体" w:hAnsi="宋体"/>
                <w:szCs w:val="21"/>
              </w:rPr>
              <w:sym w:font="Wingdings" w:char="00A8"/>
            </w:r>
            <w:r>
              <w:rPr>
                <w:rFonts w:hint="eastAsia" w:ascii="宋体" w:hAnsi="宋体"/>
                <w:szCs w:val="21"/>
              </w:rPr>
              <w:t>硕士生导师</w:t>
            </w:r>
          </w:p>
        </w:tc>
      </w:tr>
      <w:tr>
        <w:tblPrEx>
          <w:tblCellMar>
            <w:top w:w="0" w:type="dxa"/>
            <w:left w:w="28" w:type="dxa"/>
            <w:bottom w:w="0" w:type="dxa"/>
            <w:right w:w="28" w:type="dxa"/>
          </w:tblCellMar>
        </w:tblPrEx>
        <w:trPr>
          <w:trHeight w:val="90" w:hRule="atLeast"/>
        </w:trPr>
        <w:tc>
          <w:tcPr>
            <w:tcW w:w="445" w:type="pct"/>
            <w:tcBorders>
              <w:top w:val="single" w:color="auto" w:sz="4" w:space="0"/>
              <w:left w:val="single" w:color="auto" w:sz="6" w:space="0"/>
              <w:bottom w:val="single" w:color="auto" w:sz="4"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所</w:t>
            </w:r>
          </w:p>
          <w:p>
            <w:pPr>
              <w:spacing w:line="240" w:lineRule="atLeast"/>
              <w:jc w:val="center"/>
              <w:rPr>
                <w:rFonts w:ascii="宋体" w:hAnsi="宋体"/>
                <w:szCs w:val="21"/>
              </w:rPr>
            </w:pPr>
            <w:r>
              <w:rPr>
                <w:rFonts w:hint="eastAsia" w:ascii="宋体" w:hAnsi="宋体"/>
                <w:szCs w:val="21"/>
              </w:rPr>
              <w:t>在</w:t>
            </w:r>
          </w:p>
          <w:p>
            <w:pPr>
              <w:spacing w:line="140" w:lineRule="atLeast"/>
              <w:jc w:val="center"/>
              <w:rPr>
                <w:rFonts w:ascii="宋体" w:hAnsi="宋体"/>
                <w:szCs w:val="21"/>
              </w:rPr>
            </w:pPr>
            <w:r>
              <w:rPr>
                <w:rFonts w:hint="eastAsia" w:ascii="宋体" w:hAnsi="宋体"/>
                <w:szCs w:val="21"/>
              </w:rPr>
              <w:t>单</w:t>
            </w:r>
          </w:p>
          <w:p>
            <w:pPr>
              <w:spacing w:line="140" w:lineRule="atLeast"/>
              <w:jc w:val="center"/>
              <w:rPr>
                <w:rFonts w:ascii="宋体" w:hAnsi="宋体"/>
                <w:szCs w:val="21"/>
              </w:rPr>
            </w:pPr>
            <w:r>
              <w:rPr>
                <w:rFonts w:hint="eastAsia" w:ascii="宋体" w:hAnsi="宋体"/>
                <w:szCs w:val="21"/>
              </w:rPr>
              <w:t>位</w:t>
            </w:r>
          </w:p>
        </w:tc>
        <w:tc>
          <w:tcPr>
            <w:tcW w:w="466" w:type="pct"/>
            <w:tcBorders>
              <w:top w:val="single" w:color="auto" w:sz="6" w:space="0"/>
              <w:left w:val="single" w:color="auto" w:sz="4" w:space="0"/>
              <w:bottom w:val="single" w:color="auto" w:sz="6" w:space="0"/>
              <w:right w:val="single" w:color="auto" w:sz="6" w:space="0"/>
            </w:tcBorders>
            <w:noWrap/>
            <w:vAlign w:val="center"/>
          </w:tcPr>
          <w:p>
            <w:pPr>
              <w:spacing w:line="140" w:lineRule="atLeast"/>
              <w:jc w:val="center"/>
              <w:rPr>
                <w:rFonts w:ascii="宋体" w:hAnsi="宋体"/>
                <w:szCs w:val="21"/>
              </w:rPr>
            </w:pPr>
            <w:r>
              <w:rPr>
                <w:rFonts w:hint="eastAsia" w:ascii="宋体" w:hAnsi="宋体"/>
                <w:szCs w:val="21"/>
              </w:rPr>
              <w:t>单位</w:t>
            </w:r>
          </w:p>
          <w:p>
            <w:pPr>
              <w:spacing w:line="140" w:lineRule="atLeast"/>
              <w:jc w:val="center"/>
              <w:rPr>
                <w:rFonts w:ascii="宋体" w:hAnsi="宋体"/>
                <w:szCs w:val="21"/>
              </w:rPr>
            </w:pPr>
            <w:r>
              <w:rPr>
                <w:rFonts w:hint="eastAsia" w:ascii="宋体" w:hAnsi="宋体"/>
                <w:szCs w:val="21"/>
              </w:rPr>
              <w:t>名称</w:t>
            </w:r>
          </w:p>
        </w:tc>
        <w:tc>
          <w:tcPr>
            <w:tcW w:w="1069" w:type="pct"/>
            <w:gridSpan w:val="2"/>
            <w:tcBorders>
              <w:top w:val="single" w:color="auto" w:sz="6" w:space="0"/>
              <w:left w:val="single" w:color="auto" w:sz="6" w:space="0"/>
              <w:bottom w:val="single" w:color="auto" w:sz="6" w:space="0"/>
              <w:right w:val="single" w:color="auto" w:sz="6" w:space="0"/>
            </w:tcBorders>
            <w:noWrap/>
            <w:vAlign w:val="center"/>
          </w:tcPr>
          <w:p>
            <w:pPr>
              <w:spacing w:line="140" w:lineRule="atLeast"/>
              <w:jc w:val="center"/>
              <w:rPr>
                <w:rFonts w:ascii="宋体" w:hAnsi="宋体"/>
                <w:szCs w:val="21"/>
              </w:rPr>
            </w:pPr>
          </w:p>
        </w:tc>
        <w:tc>
          <w:tcPr>
            <w:tcW w:w="382" w:type="pct"/>
            <w:tcBorders>
              <w:top w:val="single" w:color="auto" w:sz="6" w:space="0"/>
              <w:left w:val="single" w:color="auto" w:sz="6" w:space="0"/>
              <w:bottom w:val="single" w:color="auto" w:sz="6" w:space="0"/>
              <w:right w:val="single" w:color="auto" w:sz="6" w:space="0"/>
            </w:tcBorders>
            <w:noWrap/>
            <w:vAlign w:val="center"/>
          </w:tcPr>
          <w:p>
            <w:pPr>
              <w:spacing w:line="140" w:lineRule="atLeast"/>
              <w:jc w:val="center"/>
              <w:rPr>
                <w:rFonts w:ascii="宋体" w:hAnsi="宋体"/>
                <w:szCs w:val="21"/>
              </w:rPr>
            </w:pPr>
            <w:r>
              <w:rPr>
                <w:rFonts w:hint="eastAsia" w:ascii="宋体" w:hAnsi="宋体"/>
                <w:szCs w:val="21"/>
              </w:rPr>
              <w:t>详细</w:t>
            </w:r>
          </w:p>
          <w:p>
            <w:pPr>
              <w:spacing w:line="140" w:lineRule="atLeast"/>
              <w:jc w:val="center"/>
              <w:rPr>
                <w:rFonts w:ascii="宋体" w:hAnsi="宋体"/>
                <w:szCs w:val="21"/>
              </w:rPr>
            </w:pPr>
            <w:r>
              <w:rPr>
                <w:rFonts w:hint="eastAsia" w:ascii="宋体" w:hAnsi="宋体"/>
                <w:szCs w:val="21"/>
              </w:rPr>
              <w:t>地址</w:t>
            </w:r>
          </w:p>
        </w:tc>
        <w:tc>
          <w:tcPr>
            <w:tcW w:w="1239" w:type="pct"/>
            <w:gridSpan w:val="2"/>
            <w:tcBorders>
              <w:top w:val="nil"/>
              <w:left w:val="single" w:color="auto" w:sz="4" w:space="0"/>
              <w:right w:val="single" w:color="auto" w:sz="4" w:space="0"/>
            </w:tcBorders>
            <w:noWrap/>
            <w:vAlign w:val="center"/>
          </w:tcPr>
          <w:p>
            <w:pPr>
              <w:spacing w:line="240" w:lineRule="atLeast"/>
              <w:rPr>
                <w:rFonts w:ascii="宋体" w:hAnsi="宋体"/>
                <w:szCs w:val="21"/>
              </w:rPr>
            </w:pPr>
          </w:p>
        </w:tc>
        <w:tc>
          <w:tcPr>
            <w:tcW w:w="639" w:type="pct"/>
            <w:tcBorders>
              <w:top w:val="nil"/>
              <w:left w:val="single" w:color="auto" w:sz="4" w:space="0"/>
              <w:right w:val="single" w:color="auto" w:sz="4" w:space="0"/>
            </w:tcBorders>
            <w:noWrap/>
            <w:vAlign w:val="center"/>
          </w:tcPr>
          <w:p>
            <w:pPr>
              <w:spacing w:line="240" w:lineRule="atLeast"/>
              <w:jc w:val="center"/>
              <w:rPr>
                <w:rFonts w:ascii="宋体" w:hAnsi="宋体"/>
                <w:szCs w:val="21"/>
              </w:rPr>
            </w:pPr>
            <w:r>
              <w:rPr>
                <w:rFonts w:hint="eastAsia" w:ascii="宋体" w:hAnsi="宋体"/>
                <w:szCs w:val="21"/>
              </w:rPr>
              <w:t>邮政编码</w:t>
            </w:r>
          </w:p>
        </w:tc>
        <w:tc>
          <w:tcPr>
            <w:tcW w:w="758" w:type="pct"/>
            <w:tcBorders>
              <w:top w:val="nil"/>
              <w:left w:val="single" w:color="auto" w:sz="4" w:space="0"/>
              <w:right w:val="single" w:color="auto" w:sz="4" w:space="0"/>
            </w:tcBorders>
            <w:noWrap/>
            <w:vAlign w:val="center"/>
          </w:tcPr>
          <w:p>
            <w:pPr>
              <w:spacing w:line="240" w:lineRule="atLeast"/>
              <w:rPr>
                <w:rFonts w:ascii="宋体" w:hAnsi="宋体"/>
                <w:szCs w:val="21"/>
              </w:rPr>
            </w:pPr>
          </w:p>
        </w:tc>
      </w:tr>
      <w:tr>
        <w:tblPrEx>
          <w:tblCellMar>
            <w:top w:w="0" w:type="dxa"/>
            <w:left w:w="28" w:type="dxa"/>
            <w:bottom w:w="0" w:type="dxa"/>
            <w:right w:w="28" w:type="dxa"/>
          </w:tblCellMar>
        </w:tblPrEx>
        <w:trPr>
          <w:trHeight w:val="548" w:hRule="atLeast"/>
        </w:trPr>
        <w:tc>
          <w:tcPr>
            <w:tcW w:w="445" w:type="pct"/>
            <w:vMerge w:val="restart"/>
            <w:tcBorders>
              <w:top w:val="single" w:color="auto" w:sz="4" w:space="0"/>
              <w:left w:val="single" w:color="auto" w:sz="6" w:space="0"/>
              <w:right w:val="single" w:color="auto" w:sz="6" w:space="0"/>
            </w:tcBorders>
            <w:noWrap/>
            <w:vAlign w:val="center"/>
          </w:tcPr>
          <w:p>
            <w:pPr>
              <w:spacing w:line="140" w:lineRule="atLeast"/>
              <w:jc w:val="center"/>
              <w:rPr>
                <w:rFonts w:ascii="宋体" w:hAnsi="宋体"/>
                <w:szCs w:val="21"/>
              </w:rPr>
            </w:pPr>
            <w:r>
              <w:rPr>
                <w:rFonts w:hint="eastAsia" w:ascii="宋体" w:hAnsi="宋体"/>
                <w:szCs w:val="21"/>
              </w:rPr>
              <w:t>项</w:t>
            </w:r>
          </w:p>
          <w:p>
            <w:pPr>
              <w:spacing w:line="140" w:lineRule="atLeast"/>
              <w:jc w:val="center"/>
              <w:rPr>
                <w:rFonts w:ascii="宋体" w:hAnsi="宋体"/>
                <w:szCs w:val="21"/>
              </w:rPr>
            </w:pPr>
            <w:r>
              <w:rPr>
                <w:rFonts w:hint="eastAsia" w:ascii="宋体" w:hAnsi="宋体"/>
                <w:szCs w:val="21"/>
              </w:rPr>
              <w:t>目</w:t>
            </w:r>
          </w:p>
          <w:p>
            <w:pPr>
              <w:spacing w:line="140" w:lineRule="atLeast"/>
              <w:jc w:val="center"/>
              <w:rPr>
                <w:rFonts w:ascii="宋体" w:hAnsi="宋体"/>
                <w:szCs w:val="21"/>
              </w:rPr>
            </w:pPr>
            <w:r>
              <w:rPr>
                <w:rFonts w:hint="eastAsia" w:ascii="宋体" w:hAnsi="宋体"/>
                <w:szCs w:val="21"/>
              </w:rPr>
              <w:t>组</w:t>
            </w:r>
          </w:p>
        </w:tc>
        <w:tc>
          <w:tcPr>
            <w:tcW w:w="466" w:type="pct"/>
            <w:tcBorders>
              <w:top w:val="single" w:color="auto" w:sz="4" w:space="0"/>
              <w:bottom w:val="single" w:color="auto" w:sz="4" w:space="0"/>
            </w:tcBorders>
            <w:noWrap/>
            <w:vAlign w:val="center"/>
          </w:tcPr>
          <w:p>
            <w:pPr>
              <w:spacing w:line="240" w:lineRule="atLeast"/>
              <w:jc w:val="center"/>
              <w:rPr>
                <w:rFonts w:ascii="宋体" w:hAnsi="宋体"/>
                <w:szCs w:val="21"/>
              </w:rPr>
            </w:pPr>
            <w:r>
              <w:rPr>
                <w:rFonts w:hint="eastAsia" w:ascii="宋体" w:hAnsi="宋体"/>
                <w:szCs w:val="21"/>
              </w:rPr>
              <w:t>总人数</w:t>
            </w:r>
          </w:p>
        </w:tc>
        <w:tc>
          <w:tcPr>
            <w:tcW w:w="679" w:type="pct"/>
            <w:tcBorders>
              <w:top w:val="single" w:color="auto" w:sz="6" w:space="0"/>
              <w:left w:val="single" w:color="auto" w:sz="6" w:space="0"/>
              <w:bottom w:val="single" w:color="auto" w:sz="4" w:space="0"/>
              <w:right w:val="single" w:color="auto" w:sz="4" w:space="0"/>
            </w:tcBorders>
            <w:noWrap/>
            <w:vAlign w:val="center"/>
          </w:tcPr>
          <w:p>
            <w:pPr>
              <w:spacing w:line="140" w:lineRule="atLeast"/>
              <w:jc w:val="center"/>
              <w:rPr>
                <w:rFonts w:ascii="宋体" w:hAnsi="宋体"/>
                <w:szCs w:val="21"/>
              </w:rPr>
            </w:pPr>
            <w:r>
              <w:rPr>
                <w:rFonts w:hint="eastAsia" w:ascii="宋体" w:hAnsi="宋体"/>
                <w:szCs w:val="21"/>
              </w:rPr>
              <w:t>高级</w:t>
            </w:r>
          </w:p>
        </w:tc>
        <w:tc>
          <w:tcPr>
            <w:tcW w:w="772" w:type="pct"/>
            <w:gridSpan w:val="2"/>
            <w:tcBorders>
              <w:top w:val="single" w:color="auto" w:sz="6" w:space="0"/>
              <w:left w:val="single" w:color="auto" w:sz="6" w:space="0"/>
              <w:bottom w:val="single" w:color="auto" w:sz="4" w:space="0"/>
              <w:right w:val="single" w:color="auto" w:sz="4" w:space="0"/>
            </w:tcBorders>
            <w:noWrap/>
            <w:vAlign w:val="center"/>
          </w:tcPr>
          <w:p>
            <w:pPr>
              <w:spacing w:line="140" w:lineRule="atLeast"/>
              <w:jc w:val="center"/>
              <w:rPr>
                <w:rFonts w:ascii="宋体" w:hAnsi="宋体"/>
                <w:szCs w:val="21"/>
              </w:rPr>
            </w:pPr>
            <w:r>
              <w:rPr>
                <w:rFonts w:hint="eastAsia" w:ascii="宋体" w:hAnsi="宋体"/>
                <w:szCs w:val="21"/>
              </w:rPr>
              <w:t>中级</w:t>
            </w:r>
          </w:p>
        </w:tc>
        <w:tc>
          <w:tcPr>
            <w:tcW w:w="594" w:type="pct"/>
            <w:tcBorders>
              <w:top w:val="single" w:color="auto" w:sz="6" w:space="0"/>
              <w:left w:val="single" w:color="auto" w:sz="6" w:space="0"/>
              <w:bottom w:val="single" w:color="auto" w:sz="4" w:space="0"/>
              <w:right w:val="single" w:color="auto" w:sz="4" w:space="0"/>
            </w:tcBorders>
            <w:noWrap/>
            <w:vAlign w:val="center"/>
          </w:tcPr>
          <w:p>
            <w:pPr>
              <w:spacing w:line="140" w:lineRule="atLeast"/>
              <w:jc w:val="center"/>
              <w:rPr>
                <w:rFonts w:ascii="宋体" w:hAnsi="宋体"/>
                <w:szCs w:val="21"/>
              </w:rPr>
            </w:pPr>
            <w:r>
              <w:rPr>
                <w:rFonts w:hint="eastAsia" w:ascii="宋体" w:hAnsi="宋体"/>
                <w:szCs w:val="21"/>
              </w:rPr>
              <w:t>初级</w:t>
            </w:r>
          </w:p>
        </w:tc>
        <w:tc>
          <w:tcPr>
            <w:tcW w:w="645" w:type="pct"/>
            <w:tcBorders>
              <w:top w:val="single" w:color="auto" w:sz="6" w:space="0"/>
              <w:left w:val="single" w:color="auto" w:sz="6" w:space="0"/>
              <w:bottom w:val="single" w:color="auto" w:sz="4" w:space="0"/>
              <w:right w:val="single" w:color="auto" w:sz="4" w:space="0"/>
            </w:tcBorders>
            <w:noWrap/>
            <w:vAlign w:val="center"/>
          </w:tcPr>
          <w:p>
            <w:pPr>
              <w:spacing w:line="140" w:lineRule="atLeast"/>
              <w:jc w:val="center"/>
              <w:rPr>
                <w:rFonts w:ascii="宋体" w:hAnsi="宋体"/>
                <w:szCs w:val="21"/>
              </w:rPr>
            </w:pPr>
            <w:r>
              <w:rPr>
                <w:rFonts w:hint="eastAsia" w:ascii="宋体" w:hAnsi="宋体"/>
                <w:szCs w:val="21"/>
              </w:rPr>
              <w:t>博士</w:t>
            </w:r>
          </w:p>
        </w:tc>
        <w:tc>
          <w:tcPr>
            <w:tcW w:w="639" w:type="pct"/>
            <w:tcBorders>
              <w:top w:val="single" w:color="auto" w:sz="6" w:space="0"/>
              <w:left w:val="single" w:color="auto" w:sz="6" w:space="0"/>
              <w:bottom w:val="single" w:color="auto" w:sz="4" w:space="0"/>
              <w:right w:val="single" w:color="auto" w:sz="4" w:space="0"/>
            </w:tcBorders>
            <w:noWrap/>
            <w:vAlign w:val="center"/>
          </w:tcPr>
          <w:p>
            <w:pPr>
              <w:spacing w:line="140" w:lineRule="atLeast"/>
              <w:jc w:val="center"/>
              <w:rPr>
                <w:rFonts w:ascii="宋体" w:hAnsi="宋体"/>
                <w:szCs w:val="21"/>
              </w:rPr>
            </w:pPr>
            <w:r>
              <w:rPr>
                <w:rFonts w:hint="eastAsia" w:ascii="宋体" w:hAnsi="宋体"/>
                <w:szCs w:val="21"/>
              </w:rPr>
              <w:t>硕士</w:t>
            </w:r>
          </w:p>
        </w:tc>
        <w:tc>
          <w:tcPr>
            <w:tcW w:w="758" w:type="pct"/>
            <w:tcBorders>
              <w:top w:val="single" w:color="auto" w:sz="6" w:space="0"/>
              <w:left w:val="single" w:color="auto" w:sz="6" w:space="0"/>
              <w:bottom w:val="single" w:color="auto" w:sz="4" w:space="0"/>
              <w:right w:val="single" w:color="auto" w:sz="6" w:space="0"/>
            </w:tcBorders>
            <w:noWrap/>
            <w:vAlign w:val="center"/>
          </w:tcPr>
          <w:p>
            <w:pPr>
              <w:spacing w:line="140" w:lineRule="atLeast"/>
              <w:jc w:val="center"/>
              <w:rPr>
                <w:rFonts w:ascii="宋体" w:hAnsi="宋体"/>
                <w:szCs w:val="21"/>
              </w:rPr>
            </w:pPr>
            <w:r>
              <w:rPr>
                <w:rFonts w:hint="eastAsia" w:ascii="宋体" w:hAnsi="宋体"/>
                <w:szCs w:val="21"/>
              </w:rPr>
              <w:t>学士</w:t>
            </w:r>
          </w:p>
        </w:tc>
      </w:tr>
      <w:tr>
        <w:tblPrEx>
          <w:tblCellMar>
            <w:top w:w="0" w:type="dxa"/>
            <w:left w:w="28" w:type="dxa"/>
            <w:bottom w:w="0" w:type="dxa"/>
            <w:right w:w="28" w:type="dxa"/>
          </w:tblCellMar>
        </w:tblPrEx>
        <w:trPr>
          <w:trHeight w:val="523" w:hRule="atLeast"/>
        </w:trPr>
        <w:tc>
          <w:tcPr>
            <w:tcW w:w="445" w:type="pct"/>
            <w:vMerge w:val="continue"/>
            <w:tcBorders>
              <w:left w:val="single" w:color="auto" w:sz="6" w:space="0"/>
              <w:bottom w:val="single" w:color="auto" w:sz="4" w:space="0"/>
              <w:right w:val="single" w:color="auto" w:sz="6" w:space="0"/>
            </w:tcBorders>
            <w:noWrap/>
            <w:vAlign w:val="center"/>
          </w:tcPr>
          <w:p>
            <w:pPr>
              <w:spacing w:line="140" w:lineRule="atLeast"/>
              <w:jc w:val="center"/>
              <w:rPr>
                <w:rFonts w:ascii="宋体" w:hAnsi="宋体"/>
                <w:szCs w:val="21"/>
              </w:rPr>
            </w:pPr>
          </w:p>
        </w:tc>
        <w:tc>
          <w:tcPr>
            <w:tcW w:w="466" w:type="pct"/>
            <w:tcBorders>
              <w:top w:val="single" w:color="auto" w:sz="4" w:space="0"/>
              <w:bottom w:val="single" w:color="auto" w:sz="4" w:space="0"/>
            </w:tcBorders>
            <w:noWrap/>
            <w:vAlign w:val="center"/>
          </w:tcPr>
          <w:p>
            <w:pPr>
              <w:spacing w:line="240" w:lineRule="atLeast"/>
              <w:jc w:val="center"/>
              <w:rPr>
                <w:rFonts w:ascii="宋体" w:hAnsi="宋体"/>
                <w:szCs w:val="21"/>
              </w:rPr>
            </w:pPr>
          </w:p>
        </w:tc>
        <w:tc>
          <w:tcPr>
            <w:tcW w:w="679" w:type="pct"/>
            <w:tcBorders>
              <w:top w:val="single" w:color="auto" w:sz="4" w:space="0"/>
              <w:left w:val="single" w:color="auto" w:sz="6" w:space="0"/>
              <w:bottom w:val="single" w:color="auto" w:sz="4" w:space="0"/>
              <w:right w:val="single" w:color="auto" w:sz="4" w:space="0"/>
            </w:tcBorders>
            <w:noWrap/>
            <w:vAlign w:val="center"/>
          </w:tcPr>
          <w:p>
            <w:pPr>
              <w:spacing w:line="140" w:lineRule="atLeast"/>
              <w:rPr>
                <w:rFonts w:ascii="宋体" w:hAnsi="宋体"/>
                <w:szCs w:val="21"/>
              </w:rPr>
            </w:pPr>
          </w:p>
        </w:tc>
        <w:tc>
          <w:tcPr>
            <w:tcW w:w="772" w:type="pct"/>
            <w:gridSpan w:val="2"/>
            <w:tcBorders>
              <w:top w:val="single" w:color="auto" w:sz="4" w:space="0"/>
              <w:left w:val="single" w:color="auto" w:sz="6" w:space="0"/>
              <w:bottom w:val="single" w:color="auto" w:sz="4" w:space="0"/>
              <w:right w:val="single" w:color="auto" w:sz="4" w:space="0"/>
            </w:tcBorders>
            <w:noWrap/>
            <w:vAlign w:val="center"/>
          </w:tcPr>
          <w:p>
            <w:pPr>
              <w:spacing w:line="140" w:lineRule="atLeast"/>
              <w:rPr>
                <w:rFonts w:ascii="宋体" w:hAnsi="宋体"/>
                <w:szCs w:val="21"/>
              </w:rPr>
            </w:pPr>
          </w:p>
        </w:tc>
        <w:tc>
          <w:tcPr>
            <w:tcW w:w="594" w:type="pct"/>
            <w:tcBorders>
              <w:top w:val="single" w:color="auto" w:sz="4" w:space="0"/>
              <w:left w:val="single" w:color="auto" w:sz="6" w:space="0"/>
              <w:bottom w:val="single" w:color="auto" w:sz="4" w:space="0"/>
              <w:right w:val="single" w:color="auto" w:sz="4" w:space="0"/>
            </w:tcBorders>
            <w:noWrap/>
            <w:vAlign w:val="center"/>
          </w:tcPr>
          <w:p>
            <w:pPr>
              <w:spacing w:line="140" w:lineRule="atLeast"/>
              <w:rPr>
                <w:rFonts w:ascii="宋体" w:hAnsi="宋体"/>
                <w:szCs w:val="21"/>
              </w:rPr>
            </w:pPr>
          </w:p>
        </w:tc>
        <w:tc>
          <w:tcPr>
            <w:tcW w:w="645" w:type="pct"/>
            <w:tcBorders>
              <w:top w:val="single" w:color="auto" w:sz="4" w:space="0"/>
              <w:left w:val="single" w:color="auto" w:sz="6" w:space="0"/>
              <w:bottom w:val="single" w:color="auto" w:sz="4" w:space="0"/>
              <w:right w:val="single" w:color="auto" w:sz="4" w:space="0"/>
            </w:tcBorders>
            <w:noWrap/>
            <w:vAlign w:val="center"/>
          </w:tcPr>
          <w:p>
            <w:pPr>
              <w:spacing w:line="140" w:lineRule="atLeast"/>
              <w:rPr>
                <w:rFonts w:ascii="宋体" w:hAnsi="宋体"/>
                <w:szCs w:val="21"/>
              </w:rPr>
            </w:pPr>
          </w:p>
        </w:tc>
        <w:tc>
          <w:tcPr>
            <w:tcW w:w="639" w:type="pct"/>
            <w:tcBorders>
              <w:top w:val="single" w:color="auto" w:sz="4" w:space="0"/>
              <w:left w:val="single" w:color="auto" w:sz="6" w:space="0"/>
              <w:bottom w:val="single" w:color="auto" w:sz="4" w:space="0"/>
              <w:right w:val="single" w:color="auto" w:sz="4" w:space="0"/>
            </w:tcBorders>
            <w:noWrap/>
            <w:vAlign w:val="center"/>
          </w:tcPr>
          <w:p>
            <w:pPr>
              <w:spacing w:line="140" w:lineRule="atLeast"/>
              <w:rPr>
                <w:rFonts w:ascii="宋体" w:hAnsi="宋体"/>
                <w:szCs w:val="21"/>
              </w:rPr>
            </w:pPr>
          </w:p>
        </w:tc>
        <w:tc>
          <w:tcPr>
            <w:tcW w:w="758" w:type="pct"/>
            <w:tcBorders>
              <w:top w:val="single" w:color="auto" w:sz="4" w:space="0"/>
              <w:left w:val="single" w:color="auto" w:sz="6" w:space="0"/>
              <w:bottom w:val="single" w:color="auto" w:sz="4" w:space="0"/>
              <w:right w:val="single" w:color="auto" w:sz="6" w:space="0"/>
            </w:tcBorders>
            <w:noWrap/>
            <w:vAlign w:val="center"/>
          </w:tcPr>
          <w:p>
            <w:pPr>
              <w:spacing w:line="140" w:lineRule="atLeast"/>
              <w:rPr>
                <w:rFonts w:ascii="宋体" w:hAnsi="宋体"/>
                <w:szCs w:val="21"/>
              </w:rPr>
            </w:pPr>
          </w:p>
        </w:tc>
      </w:tr>
    </w:tbl>
    <w:p>
      <w:pPr>
        <w:spacing w:line="360" w:lineRule="auto"/>
        <w:rPr>
          <w:rFonts w:ascii="宋体" w:hAnsi="宋体"/>
          <w:b/>
          <w:sz w:val="28"/>
          <w:szCs w:val="28"/>
        </w:rPr>
      </w:pPr>
    </w:p>
    <w:p>
      <w:pPr>
        <w:rPr>
          <w:rFonts w:ascii="宋体" w:hAnsi="宋体"/>
          <w:b/>
          <w:sz w:val="28"/>
          <w:szCs w:val="28"/>
        </w:rPr>
        <w:sectPr>
          <w:pgSz w:w="11906" w:h="16838"/>
          <w:pgMar w:top="1440" w:right="1800" w:bottom="1440" w:left="1800" w:header="851" w:footer="992" w:gutter="0"/>
          <w:cols w:space="720" w:num="1"/>
          <w:docGrid w:type="lines" w:linePitch="312" w:charSpace="0"/>
        </w:sectPr>
      </w:pPr>
      <w:r>
        <w:rPr>
          <w:rFonts w:hint="eastAsia" w:ascii="宋体" w:hAnsi="宋体"/>
          <w:b/>
          <w:sz w:val="28"/>
          <w:szCs w:val="28"/>
        </w:rPr>
        <w:br w:type="page"/>
      </w:r>
    </w:p>
    <w:p>
      <w:pPr>
        <w:spacing w:line="360" w:lineRule="auto"/>
        <w:jc w:val="left"/>
        <w:rPr>
          <w:rFonts w:hint="eastAsia" w:ascii="宋体" w:hAnsi="宋体" w:eastAsia="宋体"/>
          <w:b/>
          <w:sz w:val="28"/>
          <w:szCs w:val="28"/>
          <w:lang w:eastAsia="zh-CN"/>
        </w:rPr>
      </w:pPr>
      <w:r>
        <w:rPr>
          <w:rFonts w:hint="eastAsia" w:ascii="宋体" w:hAnsi="宋体"/>
          <w:b/>
          <w:sz w:val="28"/>
          <w:szCs w:val="28"/>
          <w:lang w:val="en-US" w:eastAsia="zh-CN"/>
        </w:rPr>
        <w:t>二</w:t>
      </w:r>
      <w:r>
        <w:rPr>
          <w:rFonts w:hint="eastAsia" w:ascii="宋体" w:hAnsi="宋体"/>
          <w:b/>
          <w:sz w:val="28"/>
          <w:szCs w:val="28"/>
        </w:rPr>
        <w:t>、 湖北省医疗机构药品遴选评分表</w:t>
      </w:r>
      <w:r>
        <w:rPr>
          <w:rFonts w:hint="eastAsia" w:ascii="宋体" w:hAnsi="宋体"/>
          <w:b/>
          <w:sz w:val="28"/>
          <w:szCs w:val="28"/>
          <w:lang w:eastAsia="zh-CN"/>
        </w:rPr>
        <w:t>（</w:t>
      </w:r>
      <w:r>
        <w:rPr>
          <w:rFonts w:hint="eastAsia" w:ascii="宋体" w:hAnsi="宋体"/>
          <w:b/>
          <w:sz w:val="28"/>
          <w:szCs w:val="28"/>
          <w:lang w:val="en-US" w:eastAsia="zh-CN"/>
        </w:rPr>
        <w:t>总表</w:t>
      </w:r>
      <w:r>
        <w:rPr>
          <w:rFonts w:hint="eastAsia" w:ascii="宋体" w:hAnsi="宋体"/>
          <w:b/>
          <w:sz w:val="28"/>
          <w:szCs w:val="28"/>
          <w:lang w:eastAsia="zh-CN"/>
        </w:rPr>
        <w:t>）</w:t>
      </w:r>
    </w:p>
    <w:tbl>
      <w:tblPr>
        <w:tblStyle w:val="8"/>
        <w:tblW w:w="13633" w:type="dxa"/>
        <w:tblInd w:w="93" w:type="dxa"/>
        <w:tblLayout w:type="fixed"/>
        <w:tblCellMar>
          <w:top w:w="0" w:type="dxa"/>
          <w:left w:w="108" w:type="dxa"/>
          <w:bottom w:w="0" w:type="dxa"/>
          <w:right w:w="108" w:type="dxa"/>
        </w:tblCellMar>
      </w:tblPr>
      <w:tblGrid>
        <w:gridCol w:w="1903"/>
        <w:gridCol w:w="5679"/>
        <w:gridCol w:w="1001"/>
        <w:gridCol w:w="1010"/>
        <w:gridCol w:w="1010"/>
        <w:gridCol w:w="1010"/>
        <w:gridCol w:w="1010"/>
        <w:gridCol w:w="1010"/>
      </w:tblGrid>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指标体系</w:t>
            </w:r>
          </w:p>
        </w:tc>
        <w:tc>
          <w:tcPr>
            <w:tcW w:w="5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评分细则</w:t>
            </w:r>
          </w:p>
        </w:tc>
        <w:tc>
          <w:tcPr>
            <w:tcW w:w="100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top"/>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A</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B</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C</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E……</w:t>
            </w:r>
          </w:p>
        </w:tc>
      </w:tr>
      <w:tr>
        <w:tblPrEx>
          <w:tblCellMar>
            <w:top w:w="0" w:type="dxa"/>
            <w:left w:w="108" w:type="dxa"/>
            <w:bottom w:w="0" w:type="dxa"/>
            <w:right w:w="108" w:type="dxa"/>
          </w:tblCellMar>
        </w:tblPrEx>
        <w:trPr>
          <w:trHeight w:val="9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安全性20分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sz w:val="18"/>
                <w:szCs w:val="18"/>
              </w:rPr>
            </w:pPr>
          </w:p>
        </w:tc>
        <w:tc>
          <w:tcPr>
            <w:tcW w:w="100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不良反应分级或CTCAE V5.0分级</w:t>
            </w:r>
          </w:p>
          <w:p>
            <w:pPr>
              <w:widowControl/>
              <w:ind w:firstLine="180" w:firstLineChars="100"/>
              <w:jc w:val="left"/>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（简称CTC）</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（单选，最高7分）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症状轻微，无需治疗或CTC 1级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症状较轻，需要干预或CTC 2级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症状明显，需要干预或CTC 3级</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发生率&lt;0.1%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发生率（0.1%~1%）</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发生率（&gt;1%~10%）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发生率&gt;10%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特殊人群</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（多选，最高7分）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儿童可用（非限制性使用，2分；限制性使用，1分；禁用，0分）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老人可用（非限制性使用，1分；限制性使用，0.5分；禁用，0分）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孕妇可用（非限制性使用，1分；限制性使用，0.5分；禁用，0分）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哺乳期妇女可用（非限制性使用，1分；限制性使用，0.5分；禁用，0分）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肝功能异常可用（非限制性使用，1分；限制性使用，0.5分；禁用，0分）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肾功能异常可用（非限制性使用，1分；限制性使用，0.5分；禁用，0分）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药物相互作用</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（单选，最高4分）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中有级别为A级的相互作用或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中药物相互作用严重性等级为尚不明确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中有级别为B级的相互作用或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中药物相互作用严重性等级为较少</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中有级别为C级的相互作用或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中药物相互作用严重性等级为中等</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中有级别为D级的相互作用或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中药物相互作用严重性等级为严重</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中有级别为X级的相互作用或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中药物相互作用严重性等级为禁止</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其他用药警示</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（多选，最高2分）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无致畸、致癌</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无特别用药警示（说明书无黑框警示）</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有药物警戒公告（每条0.5分，2分封顶）</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有效性15分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临床路径和指南推荐等级</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（单选，最高10分）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诊疗规范推荐/临床路径推荐（国家卫生行政部门）</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近3年（或最新）权威指南Ｉ级推荐、</w:t>
            </w:r>
            <w:r>
              <w:rPr>
                <w:rStyle w:val="15"/>
                <w:rFonts w:hint="default"/>
                <w:color w:val="auto"/>
                <w:sz w:val="18"/>
                <w:szCs w:val="18"/>
              </w:rPr>
              <w:t>Ａ级证据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近3年（或最新）权威指南Ｉ级推荐、</w:t>
            </w:r>
            <w:r>
              <w:rPr>
                <w:rStyle w:val="15"/>
                <w:rFonts w:hint="default"/>
                <w:color w:val="auto"/>
                <w:sz w:val="18"/>
                <w:szCs w:val="18"/>
              </w:rPr>
              <w:t>Ｂ级证据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近3年（或最新）权威指南II级及以下推荐、</w:t>
            </w:r>
            <w:r>
              <w:rPr>
                <w:rStyle w:val="15"/>
                <w:rFonts w:hint="default"/>
                <w:color w:val="auto"/>
                <w:sz w:val="18"/>
                <w:szCs w:val="18"/>
              </w:rPr>
              <w:t>Ａ级证据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近3年（或最新）权威指南II级及以下推荐、</w:t>
            </w:r>
            <w:r>
              <w:rPr>
                <w:rStyle w:val="15"/>
                <w:rFonts w:hint="default"/>
                <w:color w:val="auto"/>
                <w:sz w:val="18"/>
                <w:szCs w:val="18"/>
              </w:rPr>
              <w:t>Ｂ级证据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w:t>
            </w:r>
            <w:r>
              <w:rPr>
                <w:rFonts w:hint="eastAsia" w:ascii="微软雅黑" w:hAnsi="微软雅黑" w:eastAsia="微软雅黑" w:cs="微软雅黑"/>
                <w:kern w:val="0"/>
                <w:sz w:val="18"/>
                <w:szCs w:val="18"/>
              </w:rPr>
              <w:t>专家共识优先推荐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80" w:hRule="atLeast"/>
        </w:trPr>
        <w:tc>
          <w:tcPr>
            <w:tcW w:w="19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相关证据研究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SCI Q1区期刊发表的RCT或纳入RCT的meta分析</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80" w:hRule="atLeast"/>
        </w:trPr>
        <w:tc>
          <w:tcPr>
            <w:tcW w:w="19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SCI Q2区期刊发表的RCT或纳入RCT的meta分析</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44" w:hRule="atLeast"/>
        </w:trPr>
        <w:tc>
          <w:tcPr>
            <w:tcW w:w="19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中国科学引文数据库（CSCD）来源期刊发表的RCT或纳入RCT的meta分析</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44" w:hRule="atLeast"/>
        </w:trPr>
        <w:tc>
          <w:tcPr>
            <w:tcW w:w="19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中国科技核心期刊或中文核心期刊发表的RCT或纳入RCT的meta分析</w:t>
            </w:r>
          </w:p>
        </w:tc>
        <w:tc>
          <w:tcPr>
            <w:tcW w:w="1001"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96" w:hRule="atLeast"/>
        </w:trPr>
        <w:tc>
          <w:tcPr>
            <w:tcW w:w="19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其他SCI期刊发表的RCT或纳入RCT的meta分析</w:t>
            </w:r>
          </w:p>
        </w:tc>
        <w:tc>
          <w:tcPr>
            <w:tcW w:w="1001"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经济性10分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9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与同通用名药品比较</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日均治疗费用最低</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日均治疗费用低于中位数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日均治疗费用居中</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日均治疗费用高于中位数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日均治疗费用最高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与主要适应证可替代药品比较</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（单选，最高5分）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sz w:val="18"/>
                <w:szCs w:val="18"/>
              </w:rPr>
              <w:t>日均治疗费用最低</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日均治疗费用低于中位数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日均治疗费用居中</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sz w:val="18"/>
                <w:szCs w:val="18"/>
              </w:rPr>
              <w:t>日均治疗费用高于中位数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日均治疗费用最高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创新性10分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88"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治疗需求和附加价值（多选，最高7分）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弥补目前未被满足的治疗需求</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26"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具有适应证以外的获益（循证证据支持）</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92"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创新药物类别（单选，最高3分）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1类创新药物（境内外均未上市的创新药）</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2类创新药物（境内外均未上市的改良型新药）</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 xml:space="preserve">2.5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3类创新药物（境内申请人仿制境外上市但境内未上市原研药品的药品）</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45"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4类创新药物（境内申请人仿制已在境内上市原研药品的药品）</w:t>
            </w:r>
          </w:p>
        </w:tc>
        <w:tc>
          <w:tcPr>
            <w:tcW w:w="1001"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45"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5类创新药物（境外上市的药品申请在境内上市）</w:t>
            </w:r>
          </w:p>
        </w:tc>
        <w:tc>
          <w:tcPr>
            <w:tcW w:w="1001"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ascii="微软雅黑" w:hAnsi="微软雅黑" w:eastAsia="微软雅黑"/>
                <w:b/>
                <w:bCs/>
                <w:kern w:val="0"/>
                <w:sz w:val="18"/>
                <w:szCs w:val="18"/>
              </w:rPr>
              <w:t>可及性15分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b/>
                <w:bCs/>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可获得性</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 ，最高2分）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可保证医疗机构的采购需求（3个月内无缺货现象）</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82"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不能保证医疗机构的采购需求（3个月内有缺货现象）</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是否纳入国家医保药品目录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国家医保甲类药品，且没有支付限定条件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国家医保甲类药品，有支付限定条件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国家医保乙类药品，且没有支付限定条件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国家医保乙类药品，有支付限定条件</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未纳入国家医保药品目录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是否纳入国家基本药物目录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5</w:t>
            </w:r>
            <w:r>
              <w:rPr>
                <w:rFonts w:hint="eastAsia" w:ascii="微软雅黑" w:hAnsi="微软雅黑" w:eastAsia="微软雅黑" w:cs="微软雅黑"/>
                <w:kern w:val="0"/>
                <w:sz w:val="18"/>
                <w:szCs w:val="18"/>
              </w:rPr>
              <w:t>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纳入《国家基本药物目录》，没有△标注</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纳入《国家基本药物目录》，有△标注</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未纳入《国家基本药物目录》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是否纳入集采中选目录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纳入集采药品目录</w:t>
            </w:r>
            <w:r>
              <w:rPr>
                <w:rStyle w:val="15"/>
                <w:rFonts w:hint="default"/>
                <w:color w:val="auto"/>
                <w:sz w:val="18"/>
                <w:szCs w:val="18"/>
              </w:rPr>
              <w:t>（含国家集采及省集采）</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95"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未纳入集采药品目录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是否纳入国谈药品目录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纳入国谈药品目录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未纳入国谈药品目录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00" w:hRule="atLeast"/>
        </w:trPr>
        <w:tc>
          <w:tcPr>
            <w:tcW w:w="19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是否纳入国家或省重点监控合理用药药品目录</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纳入国家重点监控合理用药药品目录，减2分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400" w:hRule="atLeast"/>
        </w:trPr>
        <w:tc>
          <w:tcPr>
            <w:tcW w:w="190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纳入省重点监控合理用药药品目录，减1分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生产企业属性5分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生产企业情况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（多选，最高2分）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生产企业为世界销量前50制药企业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生产企业在国家工业和信息化部医药工业百强榜</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生产企业既往存在涉及违规事件，减2分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全球使用情况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 xml:space="preserve">美国、欧洲、日本均已上市 </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美国或欧洲或日本上市</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美国、欧洲、日本均未上市</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tcBorders>
              <w:top w:val="single" w:color="000000" w:sz="4" w:space="0"/>
              <w:left w:val="single" w:color="000000" w:sz="4" w:space="0"/>
              <w:bottom w:val="single" w:color="000000" w:sz="4" w:space="0"/>
              <w:right w:val="single" w:color="auto" w:sz="4" w:space="0"/>
            </w:tcBorders>
            <w:shd w:val="clear" w:color="auto" w:fill="auto"/>
            <w:vAlign w:val="center"/>
          </w:tcPr>
          <w:p>
            <w:pPr>
              <w:ind w:firstLine="0" w:firstLineChars="0"/>
              <w:jc w:val="left"/>
              <w:rPr>
                <w:rFonts w:ascii="微软雅黑" w:hAnsi="微软雅黑" w:eastAsia="微软雅黑" w:cs="微软雅黑"/>
                <w:sz w:val="18"/>
                <w:szCs w:val="18"/>
              </w:rPr>
            </w:pPr>
            <w:r>
              <w:rPr>
                <w:rFonts w:hint="eastAsia" w:ascii="微软雅黑" w:hAnsi="微软雅黑" w:eastAsia="微软雅黑" w:cs="微软雅黑"/>
                <w:b/>
                <w:bCs/>
                <w:kern w:val="0"/>
                <w:sz w:val="18"/>
                <w:szCs w:val="18"/>
              </w:rPr>
              <w:t xml:space="preserve">其他药学属性 25分 </w:t>
            </w:r>
          </w:p>
        </w:tc>
        <w:tc>
          <w:tcPr>
            <w:tcW w:w="5679" w:type="dxa"/>
            <w:tcBorders>
              <w:top w:val="single" w:color="000000" w:sz="4" w:space="0"/>
              <w:left w:val="single" w:color="auto" w:sz="4" w:space="0"/>
              <w:bottom w:val="single" w:color="000000" w:sz="4" w:space="0"/>
              <w:right w:val="single" w:color="auto" w:sz="4" w:space="0"/>
            </w:tcBorders>
            <w:shd w:val="clear" w:color="auto" w:fill="auto"/>
            <w:vAlign w:val="center"/>
          </w:tcPr>
          <w:p>
            <w:pPr>
              <w:ind w:firstLine="0" w:firstLineChars="0"/>
              <w:jc w:val="left"/>
              <w:rPr>
                <w:rFonts w:hint="eastAsia" w:ascii="微软雅黑" w:hAnsi="微软雅黑" w:eastAsia="微软雅黑" w:cs="微软雅黑"/>
                <w:b/>
                <w:bCs/>
                <w:kern w:val="0"/>
                <w:sz w:val="18"/>
                <w:szCs w:val="18"/>
              </w:rPr>
            </w:pPr>
          </w:p>
        </w:tc>
        <w:tc>
          <w:tcPr>
            <w:tcW w:w="1001"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药品成份标注情况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主要成分及辅料明确</w:t>
            </w:r>
          </w:p>
        </w:tc>
        <w:tc>
          <w:tcPr>
            <w:tcW w:w="100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主要成分及辅料不明确</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90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适应证</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临床必需，首选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903" w:type="dxa"/>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临床需要，次选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90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可替代药品较多</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药品有效期</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≥36个月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24~36个月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&lt;24个月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储存条件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3</w:t>
            </w:r>
            <w:r>
              <w:rPr>
                <w:rFonts w:hint="eastAsia" w:ascii="微软雅黑" w:hAnsi="微软雅黑" w:eastAsia="微软雅黑" w:cs="微软雅黑"/>
                <w:kern w:val="0"/>
                <w:sz w:val="18"/>
                <w:szCs w:val="18"/>
              </w:rPr>
              <w:t>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常温贮藏</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常温贮藏，避光或遮光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阴凉贮藏</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阴凉贮藏，避光或遮光</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冷藏/冷冻贮藏</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用法用量</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（多选，最高4分）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给药剂量便于掌握</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给药频次适宜</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可选给药途径较</w:t>
            </w:r>
            <w:r>
              <w:rPr>
                <w:rFonts w:hint="eastAsia" w:ascii="微软雅黑" w:hAnsi="微软雅黑" w:eastAsia="微软雅黑" w:cs="微软雅黑"/>
                <w:sz w:val="18"/>
                <w:szCs w:val="18"/>
              </w:rPr>
              <w:t>多</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不受饮食影响</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作用机制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（单选，最高4分）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作用机制明确</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作用机制尚不十分明确</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作用机制不明确</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体内过程</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4</w:t>
            </w:r>
            <w:r>
              <w:rPr>
                <w:rFonts w:hint="eastAsia" w:ascii="微软雅黑" w:hAnsi="微软雅黑" w:eastAsia="微软雅黑" w:cs="微软雅黑"/>
                <w:kern w:val="0"/>
                <w:sz w:val="18"/>
                <w:szCs w:val="18"/>
              </w:rPr>
              <w:t>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药动学参数完整（吸收、分布、代谢、排泄4类参数完整）</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药动学参数较完整（吸收、分布、代谢、排泄4类药动学参数中有3类完整）</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药动学参数不完整（吸收、分布、代谢、排泄4类药动学参数中有2类完整）</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体内过程尚不明确，无药动学相关说明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一致性评价</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原研药品/参比制剂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通过一致性评价的仿制药品</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sz w:val="18"/>
                <w:szCs w:val="18"/>
              </w:rPr>
            </w:pPr>
          </w:p>
        </w:tc>
        <w:tc>
          <w:tcPr>
            <w:tcW w:w="5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其他</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bl>
    <w:p>
      <w:pPr>
        <w:widowControl/>
        <w:jc w:val="left"/>
        <w:rPr>
          <w:rFonts w:ascii="宋体" w:hAnsi="宋体"/>
          <w:b/>
          <w:sz w:val="28"/>
          <w:szCs w:val="28"/>
        </w:rPr>
      </w:pPr>
      <w:r>
        <w:rPr>
          <w:kern w:val="0"/>
          <w:sz w:val="16"/>
          <w:szCs w:val="16"/>
        </w:rPr>
        <w:t>CTCAE</w:t>
      </w:r>
      <w:r>
        <w:rPr>
          <w:rFonts w:ascii="FZBSK--GBK1-0" w:hAnsi="FZBSK--GBK1-0" w:eastAsia="FZBSK--GBK1-0" w:cs="FZBSK--GBK1-0"/>
          <w:kern w:val="0"/>
          <w:sz w:val="16"/>
          <w:szCs w:val="16"/>
        </w:rPr>
        <w:t>：</w:t>
      </w:r>
      <w:r>
        <w:rPr>
          <w:rFonts w:ascii="FZSSJW--GB1-0" w:hAnsi="FZSSJW--GB1-0" w:eastAsia="FZSSJW--GB1-0" w:cs="FZSSJW--GB1-0"/>
          <w:kern w:val="0"/>
          <w:sz w:val="16"/>
          <w:szCs w:val="16"/>
        </w:rPr>
        <w:t>常见不良事件评价标准</w:t>
      </w:r>
      <w:r>
        <w:rPr>
          <w:rFonts w:ascii="FZBSK--GBK1-0" w:hAnsi="FZBSK--GBK1-0" w:eastAsia="FZBSK--GBK1-0" w:cs="FZBSK--GBK1-0"/>
          <w:kern w:val="0"/>
          <w:sz w:val="16"/>
          <w:szCs w:val="16"/>
        </w:rPr>
        <w:t>（</w:t>
      </w:r>
      <w:r>
        <w:rPr>
          <w:kern w:val="0"/>
          <w:sz w:val="16"/>
          <w:szCs w:val="16"/>
        </w:rPr>
        <w:t>common terminology criteria adverse events</w:t>
      </w:r>
      <w:r>
        <w:rPr>
          <w:rFonts w:ascii="FZBSK--GBK1-0" w:hAnsi="FZBSK--GBK1-0" w:eastAsia="FZBSK--GBK1-0" w:cs="FZBSK--GBK1-0"/>
          <w:kern w:val="0"/>
          <w:sz w:val="16"/>
          <w:szCs w:val="16"/>
        </w:rPr>
        <w:t>）</w:t>
      </w:r>
      <w:r>
        <w:rPr>
          <w:rFonts w:hint="eastAsia" w:ascii="宋体" w:hAnsi="宋体" w:cs="宋体"/>
          <w:kern w:val="0"/>
          <w:sz w:val="16"/>
          <w:szCs w:val="16"/>
        </w:rPr>
        <w:t>；</w:t>
      </w:r>
      <w:r>
        <w:rPr>
          <w:rFonts w:hint="eastAsia" w:ascii="微软雅黑" w:hAnsi="微软雅黑" w:eastAsia="微软雅黑" w:cs="微软雅黑"/>
          <w:sz w:val="18"/>
          <w:szCs w:val="18"/>
        </w:rPr>
        <w:t>“△”</w:t>
      </w:r>
      <w:r>
        <w:rPr>
          <w:rFonts w:ascii="FZSSJW--GB1-0" w:hAnsi="FZSSJW--GB1-0" w:eastAsia="FZSSJW--GB1-0" w:cs="FZSSJW--GB1-0"/>
          <w:kern w:val="0"/>
          <w:sz w:val="16"/>
          <w:szCs w:val="16"/>
        </w:rPr>
        <w:t>号表示药品应在具备相应处方资质的医师或在专科医师指导下使用，并加强使用监测和评价。</w:t>
      </w:r>
    </w:p>
    <w:p>
      <w:pPr>
        <w:rPr>
          <w:rFonts w:ascii="宋体" w:hAnsi="宋体"/>
          <w:b/>
          <w:sz w:val="28"/>
          <w:szCs w:val="28"/>
        </w:rPr>
      </w:pPr>
      <w:r>
        <w:rPr>
          <w:rFonts w:hint="eastAsia" w:ascii="宋体" w:hAnsi="宋体"/>
          <w:b/>
          <w:sz w:val="28"/>
          <w:szCs w:val="28"/>
        </w:rPr>
        <w:br w:type="page"/>
      </w:r>
    </w:p>
    <w:p>
      <w:pPr>
        <w:spacing w:line="360" w:lineRule="auto"/>
        <w:jc w:val="left"/>
        <w:rPr>
          <w:rFonts w:hint="eastAsia" w:ascii="宋体" w:hAnsi="宋体" w:eastAsia="宋体"/>
          <w:b/>
          <w:sz w:val="28"/>
          <w:szCs w:val="28"/>
          <w:lang w:eastAsia="zh-CN"/>
        </w:rPr>
      </w:pPr>
      <w:r>
        <w:rPr>
          <w:rFonts w:hint="eastAsia" w:ascii="宋体" w:hAnsi="宋体"/>
          <w:b/>
          <w:sz w:val="28"/>
          <w:szCs w:val="28"/>
          <w:lang w:val="en-US" w:eastAsia="zh-CN"/>
        </w:rPr>
        <w:t>三、</w:t>
      </w:r>
      <w:r>
        <w:rPr>
          <w:rFonts w:hint="eastAsia" w:ascii="宋体" w:hAnsi="宋体"/>
          <w:b/>
          <w:sz w:val="28"/>
          <w:szCs w:val="28"/>
        </w:rPr>
        <w:t xml:space="preserve"> 湖北省医疗机构药品遴选评分表</w:t>
      </w:r>
      <w:r>
        <w:rPr>
          <w:rFonts w:hint="eastAsia" w:ascii="宋体" w:hAnsi="宋体"/>
          <w:b/>
          <w:sz w:val="28"/>
          <w:szCs w:val="28"/>
          <w:lang w:eastAsia="zh-CN"/>
        </w:rPr>
        <w:t>（</w:t>
      </w:r>
      <w:r>
        <w:rPr>
          <w:rFonts w:hint="eastAsia" w:ascii="宋体" w:hAnsi="宋体"/>
          <w:b/>
          <w:sz w:val="28"/>
          <w:szCs w:val="28"/>
          <w:lang w:val="en-US" w:eastAsia="zh-CN"/>
        </w:rPr>
        <w:t>分表，请将每种药物用一个分表评分</w:t>
      </w:r>
      <w:r>
        <w:rPr>
          <w:rFonts w:hint="eastAsia" w:ascii="宋体" w:hAnsi="宋体"/>
          <w:b/>
          <w:sz w:val="28"/>
          <w:szCs w:val="28"/>
          <w:lang w:eastAsia="zh-CN"/>
        </w:rPr>
        <w:t>）</w:t>
      </w:r>
    </w:p>
    <w:tbl>
      <w:tblPr>
        <w:tblStyle w:val="8"/>
        <w:tblW w:w="13971" w:type="dxa"/>
        <w:tblInd w:w="93" w:type="dxa"/>
        <w:tblLayout w:type="fixed"/>
        <w:tblCellMar>
          <w:top w:w="0" w:type="dxa"/>
          <w:left w:w="108" w:type="dxa"/>
          <w:bottom w:w="0" w:type="dxa"/>
          <w:right w:w="108" w:type="dxa"/>
        </w:tblCellMar>
      </w:tblPr>
      <w:tblGrid>
        <w:gridCol w:w="1889"/>
        <w:gridCol w:w="7"/>
        <w:gridCol w:w="5672"/>
        <w:gridCol w:w="1015"/>
        <w:gridCol w:w="1010"/>
        <w:gridCol w:w="4378"/>
      </w:tblGrid>
      <w:tr>
        <w:tblPrEx>
          <w:tblCellMar>
            <w:top w:w="0" w:type="dxa"/>
            <w:left w:w="108" w:type="dxa"/>
            <w:bottom w:w="0" w:type="dxa"/>
            <w:right w:w="108" w:type="dxa"/>
          </w:tblCellMar>
        </w:tblPrEx>
        <w:trPr>
          <w:trHeight w:val="9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指标体系</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评分细则</w:t>
            </w:r>
          </w:p>
        </w:tc>
        <w:tc>
          <w:tcPr>
            <w:tcW w:w="101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textAlignment w:val="top"/>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药物名称</w:t>
            </w:r>
          </w:p>
        </w:tc>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评分依据</w:t>
            </w:r>
          </w:p>
        </w:tc>
      </w:tr>
      <w:tr>
        <w:tblPrEx>
          <w:tblCellMar>
            <w:top w:w="0" w:type="dxa"/>
            <w:left w:w="108" w:type="dxa"/>
            <w:bottom w:w="0" w:type="dxa"/>
            <w:right w:w="108" w:type="dxa"/>
          </w:tblCellMar>
        </w:tblPrEx>
        <w:trPr>
          <w:trHeight w:val="9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安全性20分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sz w:val="18"/>
                <w:szCs w:val="18"/>
              </w:rPr>
            </w:pPr>
          </w:p>
        </w:tc>
        <w:tc>
          <w:tcPr>
            <w:tcW w:w="101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不良反应分级或CTCAE V5.0分级</w:t>
            </w:r>
          </w:p>
          <w:p>
            <w:pPr>
              <w:widowControl/>
              <w:ind w:firstLine="180" w:firstLineChars="100"/>
              <w:jc w:val="left"/>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（简称CTC）</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（单选，最高7分）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症状轻微，无需治疗或CTC 1级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症状较轻，需要干预或CTC 2级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症状明显，需要干预或CTC 3级</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6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发生率&lt;0.1%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发生率（0.1%~1%）</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发生率（&gt;1%~10%）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症状严重，危及生命或CTC 4-5级，</w:t>
            </w:r>
            <w:r>
              <w:rPr>
                <w:rStyle w:val="15"/>
                <w:rFonts w:hint="default"/>
                <w:color w:val="auto"/>
                <w:sz w:val="18"/>
                <w:szCs w:val="18"/>
              </w:rPr>
              <w:t>且</w:t>
            </w:r>
            <w:r>
              <w:rPr>
                <w:rStyle w:val="14"/>
                <w:rFonts w:hint="default"/>
                <w:color w:val="auto"/>
                <w:sz w:val="18"/>
                <w:szCs w:val="18"/>
              </w:rPr>
              <w:t>发生率&gt;10%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特殊人群</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（多选，最高7分）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儿童可用（非限制性使用，2分；限制性使用，1分；禁用，0分）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老人可用（非限制性使用，1分；限制性使用，0.5分；禁用，0分）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孕妇可用（非限制性使用，1分；限制性使用，0.5分；禁用，0分）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哺乳期妇女可用（非限制性使用，1分；限制性使用，0.5分；禁用，0分）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肝功能异常可用（非限制性使用，1分；限制性使用，0.5分；禁用，0分）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肾功能异常可用（非限制性使用，1分；限制性使用，0.5分；禁用，0分）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药物相互作用</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（单选，最高4分）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中有级别为A级的相互作用或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中药物相互作用严重性等级为尚不明确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中有级别为B级的相互作用或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中药物相互作用严重性等级为较少</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中有级别为C级的相互作用或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中药物相互作用严重性等级为中等</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中有级别为D级的相互作用或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中药物相互作用严重性等级为严重</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UpToDate</w:t>
            </w:r>
            <w:r>
              <w:rPr>
                <w:rFonts w:hint="eastAsia" w:ascii="微软雅黑" w:hAnsi="微软雅黑" w:eastAsia="微软雅黑" w:cs="微软雅黑"/>
                <w:kern w:val="0"/>
                <w:sz w:val="18"/>
                <w:szCs w:val="18"/>
              </w:rPr>
              <w:t xml:space="preserve"> Lexi- comp 中有级别为X级的相互作用或</w:t>
            </w:r>
            <w:r>
              <w:rPr>
                <w:rFonts w:hint="eastAsia" w:ascii="微软雅黑" w:hAnsi="微软雅黑" w:eastAsia="微软雅黑" w:cs="微软雅黑"/>
                <w:sz w:val="18"/>
                <w:szCs w:val="18"/>
              </w:rPr>
              <w:t>Micromedex</w:t>
            </w:r>
            <w:r>
              <w:rPr>
                <w:rFonts w:hint="eastAsia" w:ascii="微软雅黑" w:hAnsi="微软雅黑" w:eastAsia="微软雅黑" w:cs="微软雅黑"/>
                <w:kern w:val="0"/>
                <w:sz w:val="18"/>
                <w:szCs w:val="18"/>
              </w:rPr>
              <w:t>中药物相互作用严重性等级为禁止</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其他用药警示</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无致畸、致癌</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无特别用药警示（说明书无黑框警示）</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有药物警戒公告（每条0.5分，2分封顶）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有效性15分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临床路径和指南推荐等级</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（单选，最高10分）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诊疗规范推荐/临床路径推荐（国家卫生行政部门）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近3年（或最新）权威指南Ｉ级推荐、</w:t>
            </w:r>
            <w:r>
              <w:rPr>
                <w:rStyle w:val="15"/>
                <w:rFonts w:hint="default"/>
                <w:color w:val="auto"/>
                <w:sz w:val="18"/>
                <w:szCs w:val="18"/>
              </w:rPr>
              <w:t>Ａ级证据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9</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近3年（或最新）权威指南Ｉ级推荐、</w:t>
            </w:r>
            <w:r>
              <w:rPr>
                <w:rStyle w:val="15"/>
                <w:rFonts w:hint="default"/>
                <w:color w:val="auto"/>
                <w:sz w:val="18"/>
                <w:szCs w:val="18"/>
              </w:rPr>
              <w:t>Ｂ级证据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近3年（或最新）权威指南II级及以下推荐、</w:t>
            </w:r>
            <w:r>
              <w:rPr>
                <w:rStyle w:val="15"/>
                <w:rFonts w:hint="default"/>
                <w:color w:val="auto"/>
                <w:sz w:val="18"/>
                <w:szCs w:val="18"/>
              </w:rPr>
              <w:t>Ａ级证据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近3年（或最新）权威指南II级及以下推荐、</w:t>
            </w:r>
            <w:r>
              <w:rPr>
                <w:rStyle w:val="15"/>
                <w:rFonts w:hint="default"/>
                <w:color w:val="auto"/>
                <w:sz w:val="18"/>
                <w:szCs w:val="18"/>
              </w:rPr>
              <w:t>Ｂ级证据</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default"/>
                <w:color w:val="auto"/>
                <w:sz w:val="18"/>
                <w:szCs w:val="18"/>
              </w:rPr>
            </w:pPr>
            <w:r>
              <w:rPr>
                <w:rStyle w:val="14"/>
                <w:rFonts w:hint="default"/>
                <w:color w:val="auto"/>
                <w:sz w:val="18"/>
                <w:szCs w:val="18"/>
              </w:rPr>
              <w:t>近3年（或最新）</w:t>
            </w:r>
            <w:r>
              <w:rPr>
                <w:rFonts w:hint="eastAsia" w:ascii="微软雅黑" w:hAnsi="微软雅黑" w:eastAsia="微软雅黑" w:cs="微软雅黑"/>
                <w:kern w:val="0"/>
                <w:sz w:val="18"/>
                <w:szCs w:val="18"/>
              </w:rPr>
              <w:t>专家共识优先推荐</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80" w:hRule="atLeast"/>
        </w:trPr>
        <w:tc>
          <w:tcPr>
            <w:tcW w:w="18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相关证据研究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SCI Q1区期刊发表的RCT或纳入RCT的meta分析</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80" w:hRule="atLeast"/>
        </w:trPr>
        <w:tc>
          <w:tcPr>
            <w:tcW w:w="18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SCI Q2区期刊发表的RCT或纳入RCT的meta分析</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544" w:hRule="atLeast"/>
        </w:trPr>
        <w:tc>
          <w:tcPr>
            <w:tcW w:w="18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中国科学引文数据库（CSCD）来源期刊发表的RCT或纳入RCT的meta分析</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44" w:hRule="atLeast"/>
        </w:trPr>
        <w:tc>
          <w:tcPr>
            <w:tcW w:w="18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中国科技核心期刊或中文核心期刊发表的RCT或纳入RCT的meta分析</w:t>
            </w:r>
          </w:p>
        </w:tc>
        <w:tc>
          <w:tcPr>
            <w:tcW w:w="10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96" w:hRule="atLeast"/>
        </w:trPr>
        <w:tc>
          <w:tcPr>
            <w:tcW w:w="18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auto"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其他SCI期刊发表的RCT或纳入RCT的meta分析</w:t>
            </w:r>
          </w:p>
        </w:tc>
        <w:tc>
          <w:tcPr>
            <w:tcW w:w="10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经济性10分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9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与同通用名药品比较</w:t>
            </w:r>
          </w:p>
          <w:p>
            <w:pPr>
              <w:widowControl/>
              <w:jc w:val="center"/>
              <w:textAlignment w:val="top"/>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日均治疗费用最低</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日均治疗费用低于中位数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日均治疗费用居中</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日均治疗费用高于中位数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日均治疗费用最高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与主要适应证可替代药品比较</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（单选，最高5分）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sz w:val="18"/>
                <w:szCs w:val="18"/>
              </w:rPr>
              <w:t>日均治疗费用最低</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日均治疗费用低于中位数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日均治疗费用居中</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left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sz w:val="18"/>
                <w:szCs w:val="18"/>
              </w:rPr>
              <w:t>日均治疗费用高于中位数</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left w:val="single" w:color="000000" w:sz="4" w:space="0"/>
              <w:bottom w:val="single" w:color="000000" w:sz="4" w:space="0"/>
              <w:right w:val="single" w:color="000000" w:sz="4" w:space="0"/>
            </w:tcBorders>
            <w:shd w:val="clear" w:color="auto" w:fill="auto"/>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日均治疗费用最高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创新性10分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88"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治疗需求和附加价值（多选，最高7分）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弥补目前未被满足的治疗需求</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26"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具有适应证以外的获益（循证证据支持）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92"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创新药物类别（单选，最高3分）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1类创新药物（境内外均未上市的创新药）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2类创新药物（境内外均未上市的改良型新药）</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 xml:space="preserve">2.5 </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3类创新药物（境内申请人仿制境外上市但境内未上市原研药品的药品）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4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4类创新药物（境内申请人仿制已在境内上市原研药品的药品）</w:t>
            </w:r>
          </w:p>
        </w:tc>
        <w:tc>
          <w:tcPr>
            <w:tcW w:w="10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1.5</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4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right w:val="single" w:color="000000" w:sz="4" w:space="0"/>
            </w:tcBorders>
            <w:shd w:val="clear" w:color="auto" w:fill="auto"/>
            <w:vAlign w:val="center"/>
          </w:tcPr>
          <w:p>
            <w:pP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5类创新药物（境外上市的药品申请在境内上市）</w:t>
            </w:r>
          </w:p>
        </w:tc>
        <w:tc>
          <w:tcPr>
            <w:tcW w:w="1015"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ascii="微软雅黑" w:hAnsi="微软雅黑" w:eastAsia="微软雅黑"/>
                <w:b/>
                <w:bCs/>
                <w:kern w:val="0"/>
                <w:sz w:val="18"/>
                <w:szCs w:val="18"/>
              </w:rPr>
              <w:t>可及性15分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微软雅黑" w:hAnsi="微软雅黑" w:eastAsia="微软雅黑" w:cs="微软雅黑"/>
                <w:b/>
                <w:bCs/>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可获得性</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 ，最高2分）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可保证医疗机构的采购需求（3个月内无缺货现象）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82"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不能保证医疗机构的采购需求（3个月内有缺货现象）</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是否纳入国家医保药品目录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国家医保甲类药品，且没有支付限定条件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国家医保甲类药品，有支付限定条件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国家医保乙类药品，且没有支付限定条件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国家医保乙类药品，有支付限定条件</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未纳入国家医保药品目录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是否纳入国家基本药物目录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5</w:t>
            </w:r>
            <w:r>
              <w:rPr>
                <w:rFonts w:hint="eastAsia" w:ascii="微软雅黑" w:hAnsi="微软雅黑" w:eastAsia="微软雅黑" w:cs="微软雅黑"/>
                <w:kern w:val="0"/>
                <w:sz w:val="18"/>
                <w:szCs w:val="18"/>
              </w:rPr>
              <w:t>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纳入《国家基本药物目录》，没有△标注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纳入《国家基本药物目录》，有△标注</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未纳入《国家基本药物目录》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27"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是否纳入集采中选目录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Style w:val="14"/>
                <w:rFonts w:hint="default"/>
                <w:color w:val="auto"/>
                <w:sz w:val="18"/>
                <w:szCs w:val="18"/>
              </w:rPr>
              <w:t>纳入集采药品目录</w:t>
            </w:r>
            <w:r>
              <w:rPr>
                <w:rStyle w:val="15"/>
                <w:rFonts w:hint="default"/>
                <w:color w:val="auto"/>
                <w:sz w:val="18"/>
                <w:szCs w:val="18"/>
              </w:rPr>
              <w:t>（含国家集采及省集采）</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95"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未纳入集采药品目录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是否纳入国谈药品目录</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1</w:t>
            </w:r>
            <w:r>
              <w:rPr>
                <w:rFonts w:hint="eastAsia" w:ascii="微软雅黑" w:hAnsi="微软雅黑" w:eastAsia="微软雅黑" w:cs="微软雅黑"/>
                <w:kern w:val="0"/>
                <w:sz w:val="18"/>
                <w:szCs w:val="18"/>
              </w:rPr>
              <w:t>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纳入国谈药品目录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未纳入国谈药品目录</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400" w:hRule="atLeast"/>
        </w:trPr>
        <w:tc>
          <w:tcPr>
            <w:tcW w:w="1896"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是否纳入国家或省重点监控合理用药药品目录</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纳入国家重点监控合理用药药品目录，减2分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400" w:hRule="atLeast"/>
        </w:trPr>
        <w:tc>
          <w:tcPr>
            <w:tcW w:w="1896"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纳入省重点监控合理用药药品目录，减1分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r>
      <w:tr>
        <w:tblPrEx>
          <w:tblCellMar>
            <w:top w:w="0" w:type="dxa"/>
            <w:left w:w="108" w:type="dxa"/>
            <w:bottom w:w="0" w:type="dxa"/>
            <w:right w:w="108" w:type="dxa"/>
          </w:tblCellMar>
        </w:tblPrEx>
        <w:trPr>
          <w:trHeight w:val="300" w:hRule="atLeast"/>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生产企业属性5分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b/>
                <w:bCs/>
                <w:sz w:val="18"/>
                <w:szCs w:val="1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tcPr>
          <w:p>
            <w:pP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生产企业情况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生产企业为世界销量前50制药企业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生产企业在国家工业和信息化部医药工业百强榜</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生产企业既往存在涉及违规事件，减2分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减分</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全球使用情况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 xml:space="preserve">美国、欧洲、日本均已上市 </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美国或欧洲或日本上市</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美国、欧洲、日本均未上市</w:t>
            </w:r>
          </w:p>
        </w:tc>
        <w:tc>
          <w:tcPr>
            <w:tcW w:w="101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89" w:type="dxa"/>
            <w:tcBorders>
              <w:top w:val="single" w:color="000000" w:sz="4" w:space="0"/>
              <w:left w:val="single" w:color="000000" w:sz="4" w:space="0"/>
              <w:bottom w:val="single" w:color="000000" w:sz="4" w:space="0"/>
              <w:right w:val="single" w:color="auto" w:sz="4" w:space="0"/>
            </w:tcBorders>
            <w:shd w:val="clear" w:color="auto" w:fill="auto"/>
            <w:vAlign w:val="center"/>
          </w:tcPr>
          <w:p>
            <w:pPr>
              <w:ind w:firstLine="0" w:firstLineChars="0"/>
              <w:jc w:val="both"/>
              <w:rPr>
                <w:rFonts w:ascii="微软雅黑" w:hAnsi="微软雅黑" w:eastAsia="微软雅黑" w:cs="微软雅黑"/>
                <w:sz w:val="18"/>
                <w:szCs w:val="18"/>
              </w:rPr>
            </w:pPr>
            <w:r>
              <w:rPr>
                <w:rFonts w:hint="eastAsia" w:ascii="微软雅黑" w:hAnsi="微软雅黑" w:eastAsia="微软雅黑" w:cs="微软雅黑"/>
                <w:b/>
                <w:bCs/>
                <w:kern w:val="0"/>
                <w:sz w:val="18"/>
                <w:szCs w:val="18"/>
              </w:rPr>
              <w:t xml:space="preserve">其他药学属性 25分 </w:t>
            </w:r>
          </w:p>
        </w:tc>
        <w:tc>
          <w:tcPr>
            <w:tcW w:w="567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ind w:firstLine="180" w:firstLineChars="100"/>
              <w:jc w:val="both"/>
              <w:rPr>
                <w:rFonts w:hint="eastAsia" w:ascii="微软雅黑" w:hAnsi="微软雅黑" w:eastAsia="微软雅黑" w:cs="微软雅黑"/>
                <w:b/>
                <w:bCs/>
                <w:kern w:val="0"/>
                <w:sz w:val="18"/>
                <w:szCs w:val="18"/>
              </w:rPr>
            </w:pPr>
          </w:p>
        </w:tc>
        <w:tc>
          <w:tcPr>
            <w:tcW w:w="101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both"/>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参考分值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c>
          <w:tcPr>
            <w:tcW w:w="43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b/>
                <w:bCs/>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药品成份标注情况</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主要成分及辅料明确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主要成分及辅料不明确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896"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适应证</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临床必需，首选</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896" w:type="dxa"/>
            <w:gridSpan w:val="2"/>
            <w:vMerge w:val="continue"/>
            <w:tcBorders>
              <w:left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临床需要，次选</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218" w:hRule="atLeast"/>
        </w:trPr>
        <w:tc>
          <w:tcPr>
            <w:tcW w:w="1896"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可替代药品较多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药品有效期</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（单选，最高2分）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≥36个月</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24~36个月</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&lt;24个月</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储存条件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3</w:t>
            </w:r>
            <w:r>
              <w:rPr>
                <w:rFonts w:hint="eastAsia" w:ascii="微软雅黑" w:hAnsi="微软雅黑" w:eastAsia="微软雅黑" w:cs="微软雅黑"/>
                <w:kern w:val="0"/>
                <w:sz w:val="18"/>
                <w:szCs w:val="18"/>
              </w:rPr>
              <w:t>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常温贮藏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常温贮藏，避光或遮光</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阴凉贮藏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阴凉贮藏，避光或遮光</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冷藏/冷冻贮藏</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9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用法用量</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（多选，最高4分）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给药剂量便于掌握</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给药频次适宜</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可选给药途径较</w:t>
            </w:r>
            <w:r>
              <w:rPr>
                <w:rFonts w:hint="eastAsia" w:ascii="微软雅黑" w:hAnsi="微软雅黑" w:eastAsia="微软雅黑" w:cs="微软雅黑"/>
                <w:sz w:val="18"/>
                <w:szCs w:val="18"/>
              </w:rPr>
              <w:t>多</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sz w:val="18"/>
                <w:szCs w:val="18"/>
              </w:rPr>
              <w:t>不受饮食影响</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作用机制</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（单选，最高4分）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作用机制尚不十分明确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作用机制不明确</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体内过程</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w:t>
            </w:r>
            <w:r>
              <w:rPr>
                <w:rFonts w:ascii="微软雅黑" w:hAnsi="微软雅黑" w:eastAsia="微软雅黑" w:cs="微软雅黑"/>
                <w:kern w:val="0"/>
                <w:sz w:val="18"/>
                <w:szCs w:val="18"/>
              </w:rPr>
              <w:t>4</w:t>
            </w:r>
            <w:r>
              <w:rPr>
                <w:rFonts w:hint="eastAsia" w:ascii="微软雅黑" w:hAnsi="微软雅黑" w:eastAsia="微软雅黑" w:cs="微软雅黑"/>
                <w:kern w:val="0"/>
                <w:sz w:val="18"/>
                <w:szCs w:val="18"/>
              </w:rPr>
              <w:t>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药动学参数完整（吸收、分布、代谢、排泄4类参数完整）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药动学参数较完整（吸收、分布、代谢、排泄4类药动学参数中有3类完整）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r>
              <w:rPr>
                <w:rFonts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药动学参数不完整（吸收、分布、代谢、排泄4类药动学参数中有2类完整）</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体内过程尚不明确，无药动学相关说明</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一致性评价</w:t>
            </w:r>
          </w:p>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（单选，最高3分）</w:t>
            </w: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原研药品/参比制剂</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通过一致性评价的仿制药品</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r>
        <w:tblPrEx>
          <w:tblCellMar>
            <w:top w:w="0" w:type="dxa"/>
            <w:left w:w="108" w:type="dxa"/>
            <w:bottom w:w="0" w:type="dxa"/>
            <w:right w:w="108" w:type="dxa"/>
          </w:tblCellMar>
        </w:tblPrEx>
        <w:trPr>
          <w:trHeight w:val="300" w:hRule="atLeast"/>
        </w:trPr>
        <w:tc>
          <w:tcPr>
            <w:tcW w:w="18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sz w:val="18"/>
                <w:szCs w:val="18"/>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其他</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sz w:val="18"/>
                <w:szCs w:val="18"/>
              </w:rPr>
            </w:pPr>
            <w:r>
              <w:rPr>
                <w:rFonts w:hint="eastAsia" w:ascii="微软雅黑" w:hAnsi="微软雅黑" w:eastAsia="微软雅黑" w:cs="微软雅黑"/>
                <w:kern w:val="0"/>
                <w:sz w:val="18"/>
                <w:szCs w:val="18"/>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c>
          <w:tcPr>
            <w:tcW w:w="437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kern w:val="0"/>
                <w:sz w:val="18"/>
                <w:szCs w:val="18"/>
              </w:rPr>
            </w:pPr>
          </w:p>
        </w:tc>
      </w:tr>
    </w:tbl>
    <w:p>
      <w:pPr>
        <w:widowControl/>
        <w:jc w:val="left"/>
        <w:rPr>
          <w:rFonts w:ascii="宋体" w:hAnsi="宋体"/>
          <w:b/>
          <w:sz w:val="28"/>
          <w:szCs w:val="28"/>
        </w:rPr>
      </w:pPr>
      <w:r>
        <w:rPr>
          <w:kern w:val="0"/>
          <w:sz w:val="16"/>
          <w:szCs w:val="16"/>
        </w:rPr>
        <w:t>CTCAE</w:t>
      </w:r>
      <w:r>
        <w:rPr>
          <w:rFonts w:ascii="FZBSK--GBK1-0" w:hAnsi="FZBSK--GBK1-0" w:eastAsia="FZBSK--GBK1-0" w:cs="FZBSK--GBK1-0"/>
          <w:kern w:val="0"/>
          <w:sz w:val="16"/>
          <w:szCs w:val="16"/>
        </w:rPr>
        <w:t>：</w:t>
      </w:r>
      <w:r>
        <w:rPr>
          <w:rFonts w:ascii="FZSSJW--GB1-0" w:hAnsi="FZSSJW--GB1-0" w:eastAsia="FZSSJW--GB1-0" w:cs="FZSSJW--GB1-0"/>
          <w:kern w:val="0"/>
          <w:sz w:val="16"/>
          <w:szCs w:val="16"/>
        </w:rPr>
        <w:t>常见不良事件评价标准</w:t>
      </w:r>
      <w:r>
        <w:rPr>
          <w:rFonts w:ascii="FZBSK--GBK1-0" w:hAnsi="FZBSK--GBK1-0" w:eastAsia="FZBSK--GBK1-0" w:cs="FZBSK--GBK1-0"/>
          <w:kern w:val="0"/>
          <w:sz w:val="16"/>
          <w:szCs w:val="16"/>
        </w:rPr>
        <w:t>（</w:t>
      </w:r>
      <w:r>
        <w:rPr>
          <w:kern w:val="0"/>
          <w:sz w:val="16"/>
          <w:szCs w:val="16"/>
        </w:rPr>
        <w:t>common terminology criteria adverse events</w:t>
      </w:r>
      <w:r>
        <w:rPr>
          <w:rFonts w:ascii="FZBSK--GBK1-0" w:hAnsi="FZBSK--GBK1-0" w:eastAsia="FZBSK--GBK1-0" w:cs="FZBSK--GBK1-0"/>
          <w:kern w:val="0"/>
          <w:sz w:val="16"/>
          <w:szCs w:val="16"/>
        </w:rPr>
        <w:t>）</w:t>
      </w:r>
      <w:r>
        <w:rPr>
          <w:rFonts w:hint="eastAsia" w:ascii="宋体" w:hAnsi="宋体" w:cs="宋体"/>
          <w:kern w:val="0"/>
          <w:sz w:val="16"/>
          <w:szCs w:val="16"/>
        </w:rPr>
        <w:t>；</w:t>
      </w:r>
      <w:r>
        <w:rPr>
          <w:rFonts w:hint="eastAsia" w:ascii="微软雅黑" w:hAnsi="微软雅黑" w:eastAsia="微软雅黑" w:cs="微软雅黑"/>
          <w:sz w:val="18"/>
          <w:szCs w:val="18"/>
        </w:rPr>
        <w:t>“△”</w:t>
      </w:r>
      <w:r>
        <w:rPr>
          <w:rFonts w:ascii="FZSSJW--GB1-0" w:hAnsi="FZSSJW--GB1-0" w:eastAsia="FZSSJW--GB1-0" w:cs="FZSSJW--GB1-0"/>
          <w:kern w:val="0"/>
          <w:sz w:val="16"/>
          <w:szCs w:val="16"/>
        </w:rPr>
        <w:t>号表示药品应在具备相应处方资质的医师或在专科医师指导下使用，并加强使用监测和评价。</w:t>
      </w:r>
    </w:p>
    <w:p>
      <w:pPr>
        <w:spacing w:line="360" w:lineRule="auto"/>
        <w:jc w:val="left"/>
        <w:rPr>
          <w:rFonts w:hint="default" w:ascii="宋体" w:hAnsi="宋体" w:eastAsia="宋体"/>
          <w:b/>
          <w:sz w:val="28"/>
          <w:szCs w:val="28"/>
          <w:lang w:val="en-US" w:eastAsia="zh-CN"/>
        </w:rPr>
        <w:sectPr>
          <w:pgSz w:w="16838" w:h="11906" w:orient="landscape"/>
          <w:pgMar w:top="1800" w:right="1440" w:bottom="1800" w:left="1440" w:header="851" w:footer="992" w:gutter="0"/>
          <w:cols w:space="720" w:num="1"/>
          <w:docGrid w:type="lines" w:linePitch="312" w:charSpace="0"/>
        </w:sectPr>
      </w:pPr>
    </w:p>
    <w:p>
      <w:pPr>
        <w:numPr>
          <w:ilvl w:val="0"/>
          <w:numId w:val="1"/>
        </w:numPr>
        <w:spacing w:line="360" w:lineRule="auto"/>
        <w:rPr>
          <w:rFonts w:ascii="宋体" w:hAnsi="宋体"/>
          <w:b/>
          <w:sz w:val="28"/>
          <w:szCs w:val="28"/>
        </w:rPr>
      </w:pPr>
      <w:r>
        <w:rPr>
          <w:rFonts w:hint="eastAsia" w:ascii="宋体" w:hAnsi="宋体"/>
          <w:b/>
          <w:sz w:val="28"/>
          <w:szCs w:val="28"/>
        </w:rPr>
        <w:t>参考文献（</w:t>
      </w:r>
      <w:r>
        <w:rPr>
          <w:rFonts w:hint="eastAsia" w:ascii="宋体" w:hAnsi="宋体"/>
          <w:bCs/>
          <w:color w:val="auto"/>
          <w:sz w:val="28"/>
          <w:szCs w:val="28"/>
        </w:rPr>
        <w:t>请将项目实施过程中的重要参考文献以附件形式提交，并在重点部分高亮标识</w:t>
      </w:r>
      <w:r>
        <w:rPr>
          <w:rFonts w:hint="eastAsia" w:ascii="宋体" w:hAnsi="宋体"/>
          <w:b/>
          <w:sz w:val="28"/>
          <w:szCs w:val="28"/>
        </w:rPr>
        <w:t>）</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五、单位意见</w:t>
      </w:r>
    </w:p>
    <w:tbl>
      <w:tblPr>
        <w:tblStyle w:val="8"/>
        <w:tblW w:w="4999" w:type="pct"/>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28" w:type="dxa"/>
          <w:bottom w:w="0" w:type="dxa"/>
          <w:right w:w="28" w:type="dxa"/>
        </w:tblCellMar>
      </w:tblPr>
      <w:tblGrid>
        <w:gridCol w:w="836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7274" w:hRule="atLeast"/>
        </w:trPr>
        <w:tc>
          <w:tcPr>
            <w:tcW w:w="5000" w:type="pct"/>
            <w:tcBorders>
              <w:top w:val="single" w:color="auto" w:sz="6" w:space="0"/>
              <w:left w:val="single" w:color="auto" w:sz="6" w:space="0"/>
              <w:bottom w:val="single" w:color="auto" w:sz="6" w:space="0"/>
              <w:right w:val="single" w:color="auto" w:sz="6" w:space="0"/>
            </w:tcBorders>
            <w:noWrap/>
          </w:tcPr>
          <w:p>
            <w:pPr>
              <w:spacing w:line="360" w:lineRule="auto"/>
              <w:rPr>
                <w:rFonts w:ascii="宋体" w:hAnsi="宋体"/>
                <w:b/>
                <w:szCs w:val="21"/>
              </w:rPr>
            </w:pPr>
            <w:r>
              <w:rPr>
                <w:rFonts w:hint="eastAsia" w:ascii="宋体" w:hAnsi="宋体"/>
                <w:b/>
                <w:szCs w:val="21"/>
              </w:rPr>
              <w:t>申请者所在单位领导的审查意见：</w:t>
            </w:r>
          </w:p>
          <w:p>
            <w:pPr>
              <w:pStyle w:val="4"/>
              <w:spacing w:line="360" w:lineRule="auto"/>
              <w:rPr>
                <w:rFonts w:hAnsi="宋体"/>
                <w:szCs w:val="21"/>
              </w:rPr>
            </w:pPr>
            <w:r>
              <w:rPr>
                <w:rFonts w:hint="eastAsia" w:hAnsi="宋体"/>
              </w:rPr>
              <w:t>已按填报说明对申请者进行了资格审查，对申请书内容进行了审核，同意学术委员会意见。</w:t>
            </w:r>
          </w:p>
          <w:p>
            <w:pPr>
              <w:spacing w:line="360" w:lineRule="auto"/>
              <w:rPr>
                <w:rFonts w:ascii="宋体" w:hAnsi="宋体"/>
              </w:rPr>
            </w:pPr>
          </w:p>
          <w:p>
            <w:pPr>
              <w:spacing w:line="360" w:lineRule="auto"/>
              <w:rPr>
                <w:rFonts w:ascii="宋体" w:hAnsi="宋体"/>
              </w:rPr>
            </w:pPr>
          </w:p>
          <w:p>
            <w:pPr>
              <w:spacing w:line="360" w:lineRule="auto"/>
              <w:rPr>
                <w:rFonts w:ascii="宋体" w:hAnsi="宋体"/>
                <w:b/>
                <w:szCs w:val="21"/>
              </w:rPr>
            </w:pPr>
            <w:r>
              <w:rPr>
                <w:rFonts w:hint="eastAsia" w:ascii="宋体" w:hAnsi="宋体"/>
                <w:b/>
                <w:szCs w:val="21"/>
              </w:rPr>
              <w:t>单位负责人（签章）：                       单位（公章）：</w:t>
            </w:r>
          </w:p>
          <w:p>
            <w:pPr>
              <w:spacing w:line="360" w:lineRule="auto"/>
              <w:rPr>
                <w:rFonts w:ascii="宋体" w:hAnsi="宋体"/>
                <w:b/>
                <w:szCs w:val="21"/>
              </w:rPr>
            </w:pPr>
          </w:p>
          <w:p>
            <w:pPr>
              <w:spacing w:line="360" w:lineRule="auto"/>
              <w:ind w:left="4469" w:hanging="4469" w:hangingChars="2120"/>
              <w:rPr>
                <w:rFonts w:ascii="宋体" w:hAnsi="宋体"/>
                <w:b/>
                <w:szCs w:val="21"/>
              </w:rPr>
            </w:pPr>
            <w:r>
              <w:rPr>
                <w:rFonts w:hint="eastAsia" w:ascii="宋体" w:hAnsi="宋体"/>
                <w:b/>
                <w:szCs w:val="21"/>
              </w:rPr>
              <w:t xml:space="preserve">                                                                              年        月        日</w:t>
            </w:r>
          </w:p>
          <w:p>
            <w:pPr>
              <w:spacing w:line="360" w:lineRule="auto"/>
              <w:rPr>
                <w:rFonts w:ascii="宋体" w:hAnsi="宋体"/>
              </w:rPr>
            </w:pPr>
          </w:p>
        </w:tc>
      </w:tr>
    </w:tbl>
    <w:p>
      <w:pPr>
        <w:rPr>
          <w:rFonts w:ascii="宋体" w:hAnsi="宋体"/>
        </w:rPr>
      </w:pPr>
    </w:p>
    <w:p>
      <w:pPr>
        <w:spacing w:line="480" w:lineRule="auto"/>
        <w:rPr>
          <w:sz w:val="24"/>
          <w:szCs w:val="24"/>
        </w:rPr>
      </w:pPr>
    </w:p>
    <w:p>
      <w:pPr>
        <w:spacing w:line="480" w:lineRule="auto"/>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FZBSK--GBK1-0">
    <w:altName w:val="Calibri"/>
    <w:panose1 w:val="00000000000000000000"/>
    <w:charset w:val="00"/>
    <w:family w:val="auto"/>
    <w:pitch w:val="default"/>
    <w:sig w:usb0="00000000" w:usb1="00000000" w:usb2="00000000" w:usb3="00000000" w:csb0="00000000" w:csb1="00000000"/>
  </w:font>
  <w:font w:name="FZSSJW--GB1-0">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0578E"/>
    <w:multiLevelType w:val="singleLevel"/>
    <w:tmpl w:val="141057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4YTcwZDRmZGQ1ZDhkZjE0ZWE5ZDgxMjllNmZiMWUifQ=="/>
  </w:docVars>
  <w:rsids>
    <w:rsidRoot w:val="00DB6A14"/>
    <w:rsid w:val="0051710E"/>
    <w:rsid w:val="005D087D"/>
    <w:rsid w:val="00767AD0"/>
    <w:rsid w:val="00872BAA"/>
    <w:rsid w:val="00AF3745"/>
    <w:rsid w:val="00CE4912"/>
    <w:rsid w:val="00DB6A14"/>
    <w:rsid w:val="00F63762"/>
    <w:rsid w:val="01F019A7"/>
    <w:rsid w:val="02B044E5"/>
    <w:rsid w:val="04955E14"/>
    <w:rsid w:val="075D6578"/>
    <w:rsid w:val="083245C7"/>
    <w:rsid w:val="09DE67F7"/>
    <w:rsid w:val="09ED69F7"/>
    <w:rsid w:val="0A972F80"/>
    <w:rsid w:val="0C097CD5"/>
    <w:rsid w:val="0C2D0FC2"/>
    <w:rsid w:val="0C8C3A7F"/>
    <w:rsid w:val="0DBD4932"/>
    <w:rsid w:val="0E43752E"/>
    <w:rsid w:val="0EA93835"/>
    <w:rsid w:val="0F3D788C"/>
    <w:rsid w:val="0F8B7AF7"/>
    <w:rsid w:val="101B6A86"/>
    <w:rsid w:val="10525806"/>
    <w:rsid w:val="11772541"/>
    <w:rsid w:val="12CF5AE2"/>
    <w:rsid w:val="14861833"/>
    <w:rsid w:val="15275FB7"/>
    <w:rsid w:val="165F53F3"/>
    <w:rsid w:val="174216C0"/>
    <w:rsid w:val="174A07CA"/>
    <w:rsid w:val="17B9616B"/>
    <w:rsid w:val="1A84574D"/>
    <w:rsid w:val="1B612DA1"/>
    <w:rsid w:val="1B9839C3"/>
    <w:rsid w:val="1F264A2D"/>
    <w:rsid w:val="1F300257"/>
    <w:rsid w:val="1F3D4FF9"/>
    <w:rsid w:val="1F731AF6"/>
    <w:rsid w:val="20637723"/>
    <w:rsid w:val="221E379A"/>
    <w:rsid w:val="235F20CF"/>
    <w:rsid w:val="247E49C4"/>
    <w:rsid w:val="257E29B4"/>
    <w:rsid w:val="26013F1B"/>
    <w:rsid w:val="27351CB2"/>
    <w:rsid w:val="2753038A"/>
    <w:rsid w:val="27BA3F65"/>
    <w:rsid w:val="27FC4433"/>
    <w:rsid w:val="29D567D9"/>
    <w:rsid w:val="2B4F1A70"/>
    <w:rsid w:val="2D087520"/>
    <w:rsid w:val="2D517119"/>
    <w:rsid w:val="2D58019B"/>
    <w:rsid w:val="2D6E244C"/>
    <w:rsid w:val="2DC91575"/>
    <w:rsid w:val="2F86131A"/>
    <w:rsid w:val="30244DE4"/>
    <w:rsid w:val="31FC0EA4"/>
    <w:rsid w:val="3478763B"/>
    <w:rsid w:val="34CA2138"/>
    <w:rsid w:val="351A06F5"/>
    <w:rsid w:val="361D5DA0"/>
    <w:rsid w:val="388C29DB"/>
    <w:rsid w:val="3A164379"/>
    <w:rsid w:val="3D7017DE"/>
    <w:rsid w:val="3D912FCA"/>
    <w:rsid w:val="3DB320A1"/>
    <w:rsid w:val="3DFC4E7F"/>
    <w:rsid w:val="3E917FBB"/>
    <w:rsid w:val="3E9926CE"/>
    <w:rsid w:val="3F247FA9"/>
    <w:rsid w:val="403903ED"/>
    <w:rsid w:val="405C7E57"/>
    <w:rsid w:val="41061B71"/>
    <w:rsid w:val="41330546"/>
    <w:rsid w:val="42C143B0"/>
    <w:rsid w:val="43255626"/>
    <w:rsid w:val="43E15455"/>
    <w:rsid w:val="44E4666D"/>
    <w:rsid w:val="45A72013"/>
    <w:rsid w:val="47610149"/>
    <w:rsid w:val="486040CA"/>
    <w:rsid w:val="49DF0537"/>
    <w:rsid w:val="4A2540FA"/>
    <w:rsid w:val="4AC033AE"/>
    <w:rsid w:val="4BE2223E"/>
    <w:rsid w:val="4CF279A3"/>
    <w:rsid w:val="4D731B18"/>
    <w:rsid w:val="4E4C1A45"/>
    <w:rsid w:val="4F8F6E78"/>
    <w:rsid w:val="4FB76B84"/>
    <w:rsid w:val="501A6881"/>
    <w:rsid w:val="503A7DFB"/>
    <w:rsid w:val="50A70C7B"/>
    <w:rsid w:val="5128337D"/>
    <w:rsid w:val="537806AC"/>
    <w:rsid w:val="53B77C94"/>
    <w:rsid w:val="55D1041C"/>
    <w:rsid w:val="5623391A"/>
    <w:rsid w:val="59903BCE"/>
    <w:rsid w:val="59B40A5E"/>
    <w:rsid w:val="59F63348"/>
    <w:rsid w:val="5A034E72"/>
    <w:rsid w:val="5BC11AA7"/>
    <w:rsid w:val="5C424D5B"/>
    <w:rsid w:val="5C8E757F"/>
    <w:rsid w:val="5C950521"/>
    <w:rsid w:val="5D0A493F"/>
    <w:rsid w:val="5E671186"/>
    <w:rsid w:val="5FDB0D64"/>
    <w:rsid w:val="5FEC01B1"/>
    <w:rsid w:val="60F6592A"/>
    <w:rsid w:val="60FD48E7"/>
    <w:rsid w:val="61A732FC"/>
    <w:rsid w:val="61F02AF8"/>
    <w:rsid w:val="62347E94"/>
    <w:rsid w:val="6403178B"/>
    <w:rsid w:val="65CD16ED"/>
    <w:rsid w:val="668B10AC"/>
    <w:rsid w:val="673C3F6A"/>
    <w:rsid w:val="68190258"/>
    <w:rsid w:val="68405F05"/>
    <w:rsid w:val="68C87588"/>
    <w:rsid w:val="6BEB1F0C"/>
    <w:rsid w:val="6FAD6CEA"/>
    <w:rsid w:val="708B08E8"/>
    <w:rsid w:val="70D3366D"/>
    <w:rsid w:val="71736911"/>
    <w:rsid w:val="747131CA"/>
    <w:rsid w:val="75126ED8"/>
    <w:rsid w:val="75775D83"/>
    <w:rsid w:val="75CB5967"/>
    <w:rsid w:val="761A203C"/>
    <w:rsid w:val="76334F22"/>
    <w:rsid w:val="77C6382D"/>
    <w:rsid w:val="7869005B"/>
    <w:rsid w:val="7A624668"/>
    <w:rsid w:val="7B1B79EC"/>
    <w:rsid w:val="7B88508E"/>
    <w:rsid w:val="7BD5028D"/>
    <w:rsid w:val="7D5208ED"/>
    <w:rsid w:val="7DD97964"/>
    <w:rsid w:val="7E0F7CF5"/>
    <w:rsid w:val="7EC77AC1"/>
    <w:rsid w:val="7EE86939"/>
    <w:rsid w:val="7F375215"/>
    <w:rsid w:val="7F995383"/>
    <w:rsid w:val="7FF96986"/>
    <w:rsid w:val="CB6E08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single"/>
    </w:rPr>
  </w:style>
  <w:style w:type="character" w:customStyle="1" w:styleId="12">
    <w:name w:val="font11"/>
    <w:basedOn w:val="10"/>
    <w:qFormat/>
    <w:uiPriority w:val="0"/>
    <w:rPr>
      <w:rFonts w:hint="default" w:ascii="Times New Roman" w:hAnsi="Times New Roman" w:cs="Times New Roman"/>
      <w:color w:val="000000"/>
      <w:sz w:val="22"/>
      <w:szCs w:val="22"/>
      <w:u w:val="none"/>
    </w:rPr>
  </w:style>
  <w:style w:type="character" w:customStyle="1" w:styleId="13">
    <w:name w:val="font01"/>
    <w:basedOn w:val="10"/>
    <w:qFormat/>
    <w:uiPriority w:val="0"/>
    <w:rPr>
      <w:rFonts w:hint="eastAsia" w:ascii="宋体" w:hAnsi="宋体" w:eastAsia="宋体" w:cs="宋体"/>
      <w:color w:val="000000"/>
      <w:sz w:val="22"/>
      <w:szCs w:val="22"/>
      <w:u w:val="none"/>
    </w:rPr>
  </w:style>
  <w:style w:type="character" w:customStyle="1" w:styleId="14">
    <w:name w:val="font71"/>
    <w:basedOn w:val="10"/>
    <w:qFormat/>
    <w:uiPriority w:val="0"/>
    <w:rPr>
      <w:rFonts w:hint="eastAsia" w:ascii="微软雅黑" w:hAnsi="微软雅黑" w:eastAsia="微软雅黑" w:cs="微软雅黑"/>
      <w:color w:val="000000"/>
      <w:sz w:val="20"/>
      <w:szCs w:val="20"/>
      <w:u w:val="none"/>
    </w:rPr>
  </w:style>
  <w:style w:type="character" w:customStyle="1" w:styleId="15">
    <w:name w:val="font41"/>
    <w:basedOn w:val="10"/>
    <w:qFormat/>
    <w:uiPriority w:val="0"/>
    <w:rPr>
      <w:rFonts w:hint="eastAsia" w:ascii="微软雅黑" w:hAnsi="微软雅黑" w:eastAsia="微软雅黑" w:cs="微软雅黑"/>
      <w:color w:val="FF0000"/>
      <w:sz w:val="20"/>
      <w:szCs w:val="20"/>
      <w:u w:val="none"/>
    </w:rPr>
  </w:style>
  <w:style w:type="character" w:customStyle="1" w:styleId="16">
    <w:name w:val="页眉 Char"/>
    <w:basedOn w:val="10"/>
    <w:link w:val="6"/>
    <w:qFormat/>
    <w:uiPriority w:val="0"/>
    <w:rPr>
      <w:rFonts w:ascii="Times New Roman" w:hAnsi="Times New Roman" w:eastAsia="宋体" w:cs="Times New Roman"/>
      <w:kern w:val="2"/>
      <w:sz w:val="18"/>
      <w:szCs w:val="18"/>
    </w:rPr>
  </w:style>
  <w:style w:type="character" w:customStyle="1" w:styleId="17">
    <w:name w:val="页脚 Char"/>
    <w:basedOn w:val="10"/>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中国系统网V25.0</Company>
  <Pages>18</Pages>
  <Words>6277</Words>
  <Characters>7536</Characters>
  <Lines>51</Lines>
  <Paragraphs>14</Paragraphs>
  <TotalTime>4</TotalTime>
  <ScaleCrop>false</ScaleCrop>
  <LinksUpToDate>false</LinksUpToDate>
  <CharactersWithSpaces>7756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2023-08-04T02:12:00Z</dcterms:created>
  <dc:creator>Administrator</dc:creator>
  <cp:lastModifiedBy>大鱼 Yi</cp:lastModifiedBy>
  <dcterms:modified xsi:type="dcterms:W3CDTF">2023-08-28T02:52:53Z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B0B99C1FC1894B29956F78D44DA96151_13</vt:lpwstr>
  </property>
</Properties>
</file>